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14" w:rsidRPr="00E86C25" w:rsidRDefault="00DF3114" w:rsidP="00DF3114">
      <w:pPr>
        <w:spacing w:after="120" w:line="276" w:lineRule="auto"/>
        <w:ind w:firstLine="0"/>
        <w:jc w:val="both"/>
        <w:rPr>
          <w:b/>
          <w:sz w:val="30"/>
          <w:szCs w:val="30"/>
        </w:rPr>
      </w:pPr>
      <w:proofErr w:type="spellStart"/>
      <w:r w:rsidRPr="00E86C25">
        <w:rPr>
          <w:b/>
          <w:sz w:val="30"/>
          <w:szCs w:val="30"/>
        </w:rPr>
        <w:t>Інфузійна</w:t>
      </w:r>
      <w:proofErr w:type="spellEnd"/>
      <w:r w:rsidRPr="00E86C25">
        <w:rPr>
          <w:b/>
          <w:sz w:val="30"/>
          <w:szCs w:val="30"/>
        </w:rPr>
        <w:t xml:space="preserve"> замісна терапія внутрішньовенним </w:t>
      </w:r>
      <w:proofErr w:type="spellStart"/>
      <w:r w:rsidRPr="00E86C25">
        <w:rPr>
          <w:b/>
          <w:sz w:val="30"/>
          <w:szCs w:val="30"/>
        </w:rPr>
        <w:t>IgG</w:t>
      </w:r>
      <w:proofErr w:type="spellEnd"/>
      <w:r w:rsidRPr="00E86C25">
        <w:rPr>
          <w:b/>
          <w:sz w:val="30"/>
          <w:szCs w:val="30"/>
        </w:rPr>
        <w:t xml:space="preserve"> при </w:t>
      </w:r>
      <w:proofErr w:type="spellStart"/>
      <w:r w:rsidRPr="00E86C25">
        <w:rPr>
          <w:b/>
          <w:sz w:val="30"/>
          <w:szCs w:val="30"/>
        </w:rPr>
        <w:t>гіпогаммаглобулінемії</w:t>
      </w:r>
      <w:proofErr w:type="spellEnd"/>
      <w:r w:rsidRPr="00E86C25">
        <w:rPr>
          <w:b/>
          <w:sz w:val="30"/>
          <w:szCs w:val="30"/>
        </w:rPr>
        <w:t xml:space="preserve"> після терапії анти-CD20 </w:t>
      </w:r>
      <w:proofErr w:type="spellStart"/>
      <w:r w:rsidRPr="00E86C25">
        <w:rPr>
          <w:b/>
          <w:sz w:val="30"/>
          <w:szCs w:val="30"/>
        </w:rPr>
        <w:t>моноклональним</w:t>
      </w:r>
      <w:proofErr w:type="spellEnd"/>
      <w:r w:rsidRPr="00E86C25">
        <w:rPr>
          <w:b/>
          <w:sz w:val="30"/>
          <w:szCs w:val="30"/>
        </w:rPr>
        <w:t xml:space="preserve"> антитілом у пацієнтів із </w:t>
      </w:r>
      <w:proofErr w:type="spellStart"/>
      <w:r w:rsidRPr="00E86C25">
        <w:rPr>
          <w:b/>
          <w:sz w:val="30"/>
          <w:szCs w:val="30"/>
        </w:rPr>
        <w:t>негоджкінськими</w:t>
      </w:r>
      <w:proofErr w:type="spellEnd"/>
      <w:r w:rsidRPr="00E86C25">
        <w:rPr>
          <w:b/>
          <w:sz w:val="30"/>
          <w:szCs w:val="30"/>
        </w:rPr>
        <w:t xml:space="preserve"> злоякісними лімфомами</w:t>
      </w:r>
    </w:p>
    <w:p w:rsidR="00DF3114" w:rsidRPr="00E86C25" w:rsidRDefault="00DF3114" w:rsidP="00DF3114">
      <w:pPr>
        <w:spacing w:after="120" w:line="276" w:lineRule="auto"/>
        <w:ind w:firstLine="0"/>
        <w:jc w:val="both"/>
        <w:rPr>
          <w:b/>
          <w:sz w:val="26"/>
          <w:szCs w:val="26"/>
        </w:rPr>
      </w:pPr>
      <w:r w:rsidRPr="00E86C25">
        <w:rPr>
          <w:b/>
          <w:sz w:val="26"/>
          <w:szCs w:val="26"/>
        </w:rPr>
        <w:t>Савченко Я.Б.</w:t>
      </w:r>
      <w:r w:rsidRPr="00E86C25">
        <w:rPr>
          <w:b/>
          <w:sz w:val="26"/>
          <w:szCs w:val="26"/>
          <w:vertAlign w:val="superscript"/>
        </w:rPr>
        <w:t>1</w:t>
      </w:r>
      <w:r w:rsidRPr="00E86C25">
        <w:rPr>
          <w:b/>
          <w:sz w:val="26"/>
          <w:szCs w:val="26"/>
        </w:rPr>
        <w:t>, Гусєва С.А.</w:t>
      </w:r>
      <w:r w:rsidRPr="00E86C25">
        <w:rPr>
          <w:b/>
          <w:sz w:val="26"/>
          <w:szCs w:val="26"/>
          <w:vertAlign w:val="superscript"/>
        </w:rPr>
        <w:t>2</w:t>
      </w:r>
    </w:p>
    <w:p w:rsidR="00DF3114" w:rsidRPr="00E86C25" w:rsidRDefault="00DF3114" w:rsidP="00DF3114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E86C25">
        <w:rPr>
          <w:rFonts w:ascii="Times New Roman" w:hAnsi="Times New Roman"/>
          <w:sz w:val="26"/>
          <w:szCs w:val="26"/>
          <w:vertAlign w:val="superscript"/>
          <w:lang w:val="uk-UA"/>
        </w:rPr>
        <w:t>1</w:t>
      </w:r>
      <w:r w:rsidRPr="00E86C25">
        <w:rPr>
          <w:rFonts w:ascii="Times New Roman" w:hAnsi="Times New Roman"/>
          <w:sz w:val="26"/>
          <w:szCs w:val="26"/>
          <w:lang w:val="uk-UA"/>
        </w:rPr>
        <w:t xml:space="preserve"> Національний військово-медичний клінічний центр «</w:t>
      </w:r>
      <w:r w:rsidRPr="00E86C25">
        <w:rPr>
          <w:rFonts w:ascii="Times New Roman" w:hAnsi="Times New Roman"/>
          <w:noProof/>
          <w:sz w:val="26"/>
          <w:szCs w:val="26"/>
          <w:lang w:val="uk-UA"/>
        </w:rPr>
        <w:t>Головний військовий клінічний госпіталь» МО України, м. Київ, Україна</w:t>
      </w:r>
    </w:p>
    <w:p w:rsidR="00DF3114" w:rsidRPr="00E86C25" w:rsidRDefault="00DF3114" w:rsidP="00DF3114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E86C25">
        <w:rPr>
          <w:rFonts w:ascii="Times New Roman" w:hAnsi="Times New Roman"/>
          <w:sz w:val="26"/>
          <w:szCs w:val="26"/>
          <w:vertAlign w:val="superscript"/>
          <w:lang w:val="uk-UA"/>
        </w:rPr>
        <w:t>2</w:t>
      </w:r>
      <w:r w:rsidRPr="00E86C25">
        <w:rPr>
          <w:rFonts w:ascii="Times New Roman" w:hAnsi="Times New Roman"/>
          <w:sz w:val="26"/>
          <w:szCs w:val="26"/>
          <w:lang w:val="uk-UA"/>
        </w:rPr>
        <w:t xml:space="preserve"> Українська військово-медична академія, м. Київ, Україна</w:t>
      </w:r>
    </w:p>
    <w:p w:rsidR="00DF3114" w:rsidRPr="00A640B1" w:rsidRDefault="00DF3114" w:rsidP="00DF3114">
      <w:pPr>
        <w:spacing w:after="120" w:line="276" w:lineRule="auto"/>
        <w:ind w:firstLine="709"/>
        <w:jc w:val="both"/>
        <w:rPr>
          <w:sz w:val="28"/>
          <w:szCs w:val="28"/>
        </w:rPr>
      </w:pPr>
      <w:r w:rsidRPr="00A640B1">
        <w:rPr>
          <w:b/>
          <w:sz w:val="28"/>
          <w:szCs w:val="28"/>
        </w:rPr>
        <w:t>Мета.</w:t>
      </w:r>
      <w:r w:rsidRPr="00A640B1">
        <w:rPr>
          <w:sz w:val="28"/>
          <w:szCs w:val="28"/>
        </w:rPr>
        <w:t xml:space="preserve"> Визначення ризику виникнення інфекційних ускладнень у пацієнтів із </w:t>
      </w:r>
      <w:proofErr w:type="spellStart"/>
      <w:r>
        <w:rPr>
          <w:sz w:val="28"/>
          <w:szCs w:val="28"/>
        </w:rPr>
        <w:t>негоджкінськими</w:t>
      </w:r>
      <w:proofErr w:type="spellEnd"/>
      <w:r>
        <w:rPr>
          <w:sz w:val="28"/>
          <w:szCs w:val="28"/>
        </w:rPr>
        <w:t xml:space="preserve"> злоякісними лімфомами (</w:t>
      </w:r>
      <w:r w:rsidRPr="00A640B1">
        <w:rPr>
          <w:sz w:val="28"/>
          <w:szCs w:val="28"/>
        </w:rPr>
        <w:t>НЗЛ</w:t>
      </w:r>
      <w:r>
        <w:rPr>
          <w:sz w:val="28"/>
          <w:szCs w:val="28"/>
        </w:rPr>
        <w:t>)</w:t>
      </w:r>
      <w:r w:rsidRPr="00A640B1">
        <w:rPr>
          <w:sz w:val="28"/>
          <w:szCs w:val="28"/>
        </w:rPr>
        <w:t xml:space="preserve">, які отримували </w:t>
      </w:r>
      <w:r>
        <w:rPr>
          <w:sz w:val="28"/>
          <w:szCs w:val="28"/>
        </w:rPr>
        <w:t>анти</w:t>
      </w:r>
      <w:r w:rsidRPr="00A640B1">
        <w:rPr>
          <w:sz w:val="28"/>
          <w:szCs w:val="28"/>
        </w:rPr>
        <w:t xml:space="preserve">-CD20 </w:t>
      </w:r>
      <w:proofErr w:type="spellStart"/>
      <w:r w:rsidRPr="00A640B1">
        <w:rPr>
          <w:sz w:val="28"/>
          <w:szCs w:val="28"/>
        </w:rPr>
        <w:t>моноклональну</w:t>
      </w:r>
      <w:proofErr w:type="spellEnd"/>
      <w:r w:rsidRPr="00A640B1">
        <w:rPr>
          <w:sz w:val="28"/>
          <w:szCs w:val="28"/>
        </w:rPr>
        <w:t xml:space="preserve"> терапію</w:t>
      </w:r>
      <w:r>
        <w:rPr>
          <w:sz w:val="28"/>
          <w:szCs w:val="28"/>
        </w:rPr>
        <w:t>,</w:t>
      </w:r>
      <w:r w:rsidRPr="00A640B1">
        <w:rPr>
          <w:sz w:val="28"/>
          <w:szCs w:val="28"/>
        </w:rPr>
        <w:t xml:space="preserve"> та </w:t>
      </w:r>
      <w:r>
        <w:rPr>
          <w:sz w:val="28"/>
          <w:szCs w:val="28"/>
        </w:rPr>
        <w:t>з’ясування</w:t>
      </w:r>
      <w:r w:rsidRPr="00A640B1">
        <w:rPr>
          <w:sz w:val="28"/>
          <w:szCs w:val="28"/>
        </w:rPr>
        <w:t xml:space="preserve"> ефективності замісної внутрішньовенної</w:t>
      </w:r>
      <w:r>
        <w:rPr>
          <w:sz w:val="28"/>
          <w:szCs w:val="28"/>
        </w:rPr>
        <w:t xml:space="preserve"> </w:t>
      </w:r>
      <w:r w:rsidRPr="00A640B1">
        <w:rPr>
          <w:sz w:val="28"/>
          <w:szCs w:val="28"/>
        </w:rPr>
        <w:t xml:space="preserve">терапії </w:t>
      </w:r>
      <w:r>
        <w:rPr>
          <w:sz w:val="28"/>
          <w:szCs w:val="28"/>
        </w:rPr>
        <w:t xml:space="preserve">імуноглобуліном </w:t>
      </w:r>
      <w:r w:rsidRPr="00A640B1">
        <w:rPr>
          <w:sz w:val="28"/>
          <w:szCs w:val="28"/>
        </w:rPr>
        <w:t xml:space="preserve">G </w:t>
      </w:r>
      <w:r>
        <w:rPr>
          <w:sz w:val="28"/>
          <w:szCs w:val="28"/>
        </w:rPr>
        <w:t>(</w:t>
      </w:r>
      <w:proofErr w:type="spellStart"/>
      <w:r w:rsidRPr="00A640B1">
        <w:rPr>
          <w:sz w:val="28"/>
          <w:szCs w:val="28"/>
        </w:rPr>
        <w:t>IgG</w:t>
      </w:r>
      <w:proofErr w:type="spellEnd"/>
      <w:r>
        <w:rPr>
          <w:sz w:val="28"/>
          <w:szCs w:val="28"/>
        </w:rPr>
        <w:t>)</w:t>
      </w:r>
      <w:r w:rsidRPr="00A640B1">
        <w:rPr>
          <w:sz w:val="28"/>
          <w:szCs w:val="28"/>
        </w:rPr>
        <w:t>.</w:t>
      </w:r>
    </w:p>
    <w:p w:rsidR="00DF3114" w:rsidRPr="00A640B1" w:rsidRDefault="00DF3114" w:rsidP="00DF3114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A640B1">
        <w:rPr>
          <w:rFonts w:ascii="Times New Roman" w:hAnsi="Times New Roman"/>
          <w:b/>
          <w:sz w:val="28"/>
          <w:szCs w:val="28"/>
          <w:lang w:val="uk-UA"/>
        </w:rPr>
        <w:t xml:space="preserve">Матеріали </w:t>
      </w:r>
      <w:r>
        <w:rPr>
          <w:rFonts w:ascii="Times New Roman" w:hAnsi="Times New Roman"/>
          <w:b/>
          <w:sz w:val="28"/>
          <w:szCs w:val="28"/>
          <w:lang w:val="uk-UA"/>
        </w:rPr>
        <w:t>та</w:t>
      </w:r>
      <w:r w:rsidRPr="00A640B1">
        <w:rPr>
          <w:rFonts w:ascii="Times New Roman" w:hAnsi="Times New Roman"/>
          <w:b/>
          <w:sz w:val="28"/>
          <w:szCs w:val="28"/>
          <w:lang w:val="uk-UA"/>
        </w:rPr>
        <w:t xml:space="preserve"> методи.</w:t>
      </w:r>
      <w:r w:rsidRPr="00A640B1">
        <w:rPr>
          <w:rFonts w:ascii="Times New Roman" w:hAnsi="Times New Roman"/>
          <w:sz w:val="28"/>
          <w:szCs w:val="28"/>
          <w:lang w:val="uk-UA"/>
        </w:rPr>
        <w:t xml:space="preserve"> Проведено </w:t>
      </w:r>
      <w:proofErr w:type="spellStart"/>
      <w:r w:rsidRPr="00A640B1">
        <w:rPr>
          <w:rFonts w:ascii="Times New Roman" w:hAnsi="Times New Roman"/>
          <w:sz w:val="28"/>
          <w:szCs w:val="28"/>
          <w:lang w:val="uk-UA"/>
        </w:rPr>
        <w:t>проспективний</w:t>
      </w:r>
      <w:proofErr w:type="spellEnd"/>
      <w:r w:rsidRPr="00A640B1">
        <w:rPr>
          <w:rFonts w:ascii="Times New Roman" w:hAnsi="Times New Roman"/>
          <w:sz w:val="28"/>
          <w:szCs w:val="28"/>
          <w:lang w:val="uk-UA"/>
        </w:rPr>
        <w:t xml:space="preserve"> аналіз даних 37</w:t>
      </w:r>
      <w:r>
        <w:rPr>
          <w:rFonts w:ascii="Times New Roman" w:hAnsi="Times New Roman"/>
          <w:sz w:val="28"/>
          <w:szCs w:val="28"/>
          <w:lang w:val="uk-UA"/>
        </w:rPr>
        <w:t xml:space="preserve"> хворих на</w:t>
      </w:r>
      <w:r w:rsidRPr="00A640B1">
        <w:rPr>
          <w:rFonts w:ascii="Times New Roman" w:hAnsi="Times New Roman"/>
          <w:sz w:val="28"/>
          <w:szCs w:val="28"/>
          <w:lang w:val="uk-UA"/>
        </w:rPr>
        <w:t xml:space="preserve"> НЗЛ, 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A640B1">
        <w:rPr>
          <w:rFonts w:ascii="Times New Roman" w:hAnsi="Times New Roman"/>
          <w:sz w:val="28"/>
          <w:szCs w:val="28"/>
          <w:lang w:val="uk-UA"/>
        </w:rPr>
        <w:t xml:space="preserve">кі </w:t>
      </w:r>
      <w:r>
        <w:rPr>
          <w:rFonts w:ascii="Times New Roman" w:hAnsi="Times New Roman"/>
          <w:sz w:val="28"/>
          <w:szCs w:val="28"/>
          <w:lang w:val="uk-UA"/>
        </w:rPr>
        <w:t>перебували</w:t>
      </w:r>
      <w:r w:rsidRPr="00A640B1">
        <w:rPr>
          <w:rFonts w:ascii="Times New Roman" w:hAnsi="Times New Roman"/>
          <w:sz w:val="28"/>
          <w:szCs w:val="28"/>
          <w:lang w:val="uk-UA"/>
        </w:rPr>
        <w:t xml:space="preserve"> на лікуванні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640B1">
        <w:rPr>
          <w:rFonts w:ascii="Times New Roman" w:hAnsi="Times New Roman"/>
          <w:sz w:val="28"/>
          <w:szCs w:val="28"/>
          <w:lang w:val="uk-UA"/>
        </w:rPr>
        <w:t xml:space="preserve"> клініці гематології Національного військово-медичного клінічного центру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640B1">
        <w:rPr>
          <w:rFonts w:ascii="Times New Roman" w:hAnsi="Times New Roman"/>
          <w:noProof/>
          <w:sz w:val="28"/>
          <w:szCs w:val="28"/>
          <w:lang w:val="uk-UA"/>
        </w:rPr>
        <w:t>Головний військовий клінічний госпіталь</w:t>
      </w:r>
      <w:r>
        <w:rPr>
          <w:rFonts w:ascii="Times New Roman" w:hAnsi="Times New Roman"/>
          <w:noProof/>
          <w:sz w:val="28"/>
          <w:szCs w:val="28"/>
          <w:lang w:val="uk-UA"/>
        </w:rPr>
        <w:t>»</w:t>
      </w:r>
      <w:r w:rsidRPr="00A640B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і</w:t>
      </w:r>
      <w:r w:rsidRPr="00A640B1">
        <w:rPr>
          <w:rFonts w:ascii="Times New Roman" w:hAnsi="Times New Roman"/>
          <w:noProof/>
          <w:sz w:val="28"/>
          <w:szCs w:val="28"/>
          <w:lang w:val="uk-UA"/>
        </w:rPr>
        <w:t xml:space="preserve">з січня по грудень 2019 р. </w:t>
      </w:r>
      <w:r w:rsidRPr="00A640B1">
        <w:rPr>
          <w:rFonts w:ascii="Times New Roman" w:hAnsi="Times New Roman"/>
          <w:sz w:val="28"/>
          <w:szCs w:val="28"/>
          <w:lang w:val="uk-UA"/>
        </w:rPr>
        <w:t xml:space="preserve">Статистичне опрацювання даних </w:t>
      </w:r>
      <w:r>
        <w:rPr>
          <w:rFonts w:ascii="Times New Roman" w:hAnsi="Times New Roman"/>
          <w:sz w:val="28"/>
          <w:szCs w:val="28"/>
          <w:lang w:val="uk-UA"/>
        </w:rPr>
        <w:t>здійснювали</w:t>
      </w:r>
      <w:r w:rsidRPr="00A640B1">
        <w:rPr>
          <w:rFonts w:ascii="Times New Roman" w:hAnsi="Times New Roman"/>
          <w:sz w:val="28"/>
          <w:szCs w:val="28"/>
          <w:lang w:val="uk-UA"/>
        </w:rPr>
        <w:t xml:space="preserve"> з використанням комп’ютерних програм Microsoft Office Excel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A640B1">
        <w:rPr>
          <w:rFonts w:ascii="Times New Roman" w:hAnsi="Times New Roman"/>
          <w:sz w:val="28"/>
          <w:szCs w:val="28"/>
          <w:lang w:val="uk-UA"/>
        </w:rPr>
        <w:t>2007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A640B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A640B1">
        <w:rPr>
          <w:rFonts w:ascii="Times New Roman" w:hAnsi="Times New Roman"/>
          <w:iCs/>
          <w:sz w:val="28"/>
          <w:szCs w:val="28"/>
          <w:lang w:val="uk-UA"/>
        </w:rPr>
        <w:t>пакет</w:t>
      </w:r>
      <w:r>
        <w:rPr>
          <w:rFonts w:ascii="Times New Roman" w:hAnsi="Times New Roman"/>
          <w:iCs/>
          <w:sz w:val="28"/>
          <w:szCs w:val="28"/>
          <w:lang w:val="uk-UA"/>
        </w:rPr>
        <w:t>а</w:t>
      </w:r>
      <w:r w:rsidRPr="00A640B1">
        <w:rPr>
          <w:rFonts w:ascii="Times New Roman" w:hAnsi="Times New Roman"/>
          <w:iCs/>
          <w:sz w:val="28"/>
          <w:szCs w:val="28"/>
          <w:lang w:val="uk-UA"/>
        </w:rPr>
        <w:t xml:space="preserve"> статистичної обробки </w:t>
      </w:r>
      <w:proofErr w:type="spellStart"/>
      <w:r w:rsidRPr="00A640B1">
        <w:rPr>
          <w:rFonts w:ascii="Times New Roman" w:hAnsi="Times New Roman"/>
          <w:iCs/>
          <w:sz w:val="28"/>
          <w:szCs w:val="28"/>
          <w:lang w:val="uk-UA"/>
        </w:rPr>
        <w:t>Statistica</w:t>
      </w:r>
      <w:proofErr w:type="spellEnd"/>
      <w:r w:rsidRPr="00A640B1">
        <w:rPr>
          <w:rFonts w:ascii="Times New Roman" w:hAnsi="Times New Roman"/>
          <w:iCs/>
          <w:sz w:val="28"/>
          <w:szCs w:val="28"/>
          <w:lang w:val="uk-UA"/>
        </w:rPr>
        <w:t xml:space="preserve"> 6.0 </w:t>
      </w:r>
      <w:r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A640B1">
        <w:rPr>
          <w:rFonts w:ascii="Times New Roman" w:hAnsi="Times New Roman"/>
          <w:iCs/>
          <w:sz w:val="28"/>
          <w:szCs w:val="28"/>
          <w:lang w:val="uk-UA"/>
        </w:rPr>
        <w:t xml:space="preserve">з застосуванням процедури 2×2 </w:t>
      </w:r>
      <w:proofErr w:type="spellStart"/>
      <w:r w:rsidRPr="00A640B1">
        <w:rPr>
          <w:rFonts w:ascii="Times New Roman" w:hAnsi="Times New Roman"/>
          <w:iCs/>
          <w:sz w:val="28"/>
          <w:szCs w:val="28"/>
          <w:lang w:val="uk-UA"/>
        </w:rPr>
        <w:t>Tables</w:t>
      </w:r>
      <w:proofErr w:type="spellEnd"/>
      <w:r w:rsidRPr="00A640B1">
        <w:rPr>
          <w:rFonts w:ascii="Times New Roman" w:hAnsi="Times New Roman"/>
          <w:iCs/>
          <w:sz w:val="28"/>
          <w:szCs w:val="28"/>
          <w:lang w:val="uk-UA"/>
        </w:rPr>
        <w:t xml:space="preserve"> (YI/VI/</w:t>
      </w:r>
      <w:proofErr w:type="spellStart"/>
      <w:r w:rsidRPr="00A640B1">
        <w:rPr>
          <w:rFonts w:ascii="Times New Roman" w:hAnsi="Times New Roman"/>
          <w:iCs/>
          <w:sz w:val="28"/>
          <w:szCs w:val="28"/>
          <w:lang w:val="uk-UA"/>
        </w:rPr>
        <w:t>Phil</w:t>
      </w:r>
      <w:proofErr w:type="spellEnd"/>
      <w:r w:rsidRPr="00A640B1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proofErr w:type="spellStart"/>
      <w:r w:rsidRPr="00A640B1">
        <w:rPr>
          <w:rFonts w:ascii="Times New Roman" w:hAnsi="Times New Roman"/>
          <w:iCs/>
          <w:sz w:val="28"/>
          <w:szCs w:val="28"/>
          <w:lang w:val="uk-UA"/>
        </w:rPr>
        <w:t>McNemar</w:t>
      </w:r>
      <w:proofErr w:type="spellEnd"/>
      <w:r w:rsidRPr="00A640B1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proofErr w:type="spellStart"/>
      <w:r w:rsidRPr="00A640B1">
        <w:rPr>
          <w:rFonts w:ascii="Times New Roman" w:hAnsi="Times New Roman"/>
          <w:iCs/>
          <w:sz w:val="28"/>
          <w:szCs w:val="28"/>
          <w:lang w:val="uk-UA"/>
        </w:rPr>
        <w:t>Fisher</w:t>
      </w:r>
      <w:proofErr w:type="spellEnd"/>
      <w:r w:rsidRPr="00A640B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A640B1">
        <w:rPr>
          <w:rFonts w:ascii="Times New Roman" w:hAnsi="Times New Roman"/>
          <w:iCs/>
          <w:sz w:val="28"/>
          <w:szCs w:val="28"/>
          <w:lang w:val="uk-UA"/>
        </w:rPr>
        <w:t>Exact</w:t>
      </w:r>
      <w:proofErr w:type="spellEnd"/>
      <w:r w:rsidRPr="00A640B1">
        <w:rPr>
          <w:rFonts w:ascii="Times New Roman" w:hAnsi="Times New Roman"/>
          <w:iCs/>
          <w:sz w:val="28"/>
          <w:szCs w:val="28"/>
          <w:lang w:val="uk-UA"/>
        </w:rPr>
        <w:t xml:space="preserve">) модуля </w:t>
      </w:r>
      <w:proofErr w:type="spellStart"/>
      <w:r w:rsidRPr="00A640B1">
        <w:rPr>
          <w:rFonts w:ascii="Times New Roman" w:hAnsi="Times New Roman"/>
          <w:iCs/>
          <w:sz w:val="28"/>
          <w:szCs w:val="28"/>
          <w:lang w:val="uk-UA"/>
        </w:rPr>
        <w:t>Nonparametric</w:t>
      </w:r>
      <w:proofErr w:type="spellEnd"/>
      <w:r w:rsidRPr="00A640B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A640B1">
        <w:rPr>
          <w:rFonts w:ascii="Times New Roman" w:hAnsi="Times New Roman"/>
          <w:iCs/>
          <w:sz w:val="28"/>
          <w:szCs w:val="28"/>
          <w:lang w:val="uk-UA"/>
        </w:rPr>
        <w:t>Statistics</w:t>
      </w:r>
      <w:proofErr w:type="spellEnd"/>
      <w:r w:rsidRPr="00A640B1">
        <w:rPr>
          <w:rFonts w:ascii="Times New Roman" w:hAnsi="Times New Roman"/>
          <w:iCs/>
          <w:sz w:val="28"/>
          <w:szCs w:val="28"/>
          <w:lang w:val="uk-UA"/>
        </w:rPr>
        <w:t xml:space="preserve">, що використовує аналіз </w:t>
      </w:r>
      <w:proofErr w:type="spellStart"/>
      <w:r w:rsidRPr="00A640B1">
        <w:rPr>
          <w:rFonts w:ascii="Times New Roman" w:hAnsi="Times New Roman"/>
          <w:iCs/>
          <w:sz w:val="28"/>
          <w:szCs w:val="28"/>
          <w:lang w:val="uk-UA"/>
        </w:rPr>
        <w:t>чотир</w:t>
      </w:r>
      <w:r>
        <w:rPr>
          <w:rFonts w:ascii="Times New Roman" w:hAnsi="Times New Roman"/>
          <w:iCs/>
          <w:sz w:val="28"/>
          <w:szCs w:val="28"/>
          <w:lang w:val="uk-UA"/>
        </w:rPr>
        <w:t>иклітинної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 xml:space="preserve"> таблиці кон’югації.</w:t>
      </w:r>
    </w:p>
    <w:p w:rsidR="00DF3114" w:rsidRPr="00A640B1" w:rsidRDefault="00DF3114" w:rsidP="00DF3114">
      <w:pPr>
        <w:spacing w:after="120" w:line="276" w:lineRule="auto"/>
        <w:ind w:firstLine="709"/>
        <w:jc w:val="both"/>
        <w:rPr>
          <w:sz w:val="28"/>
          <w:szCs w:val="28"/>
        </w:rPr>
      </w:pPr>
      <w:r w:rsidRPr="00A640B1">
        <w:rPr>
          <w:b/>
          <w:sz w:val="28"/>
          <w:szCs w:val="28"/>
        </w:rPr>
        <w:t xml:space="preserve">Результати та </w:t>
      </w:r>
      <w:r>
        <w:rPr>
          <w:b/>
          <w:sz w:val="28"/>
          <w:szCs w:val="28"/>
        </w:rPr>
        <w:t xml:space="preserve">їх </w:t>
      </w:r>
      <w:r w:rsidRPr="00A640B1">
        <w:rPr>
          <w:b/>
          <w:sz w:val="28"/>
          <w:szCs w:val="28"/>
        </w:rPr>
        <w:t>обговорення</w:t>
      </w:r>
      <w:r>
        <w:rPr>
          <w:b/>
          <w:sz w:val="28"/>
          <w:szCs w:val="28"/>
        </w:rPr>
        <w:t>.</w:t>
      </w:r>
      <w:r w:rsidRPr="00A640B1">
        <w:rPr>
          <w:sz w:val="28"/>
          <w:szCs w:val="28"/>
        </w:rPr>
        <w:t xml:space="preserve"> Середній вік пацієнтів </w:t>
      </w:r>
      <w:r>
        <w:rPr>
          <w:sz w:val="28"/>
          <w:szCs w:val="28"/>
        </w:rPr>
        <w:t xml:space="preserve">– </w:t>
      </w:r>
      <w:r w:rsidRPr="00A640B1">
        <w:rPr>
          <w:sz w:val="28"/>
          <w:szCs w:val="28"/>
        </w:rPr>
        <w:t>56,5±1,4 рок</w:t>
      </w:r>
      <w:r>
        <w:rPr>
          <w:sz w:val="28"/>
          <w:szCs w:val="28"/>
        </w:rPr>
        <w:t>у;</w:t>
      </w:r>
      <w:r w:rsidRPr="00A640B1">
        <w:rPr>
          <w:sz w:val="28"/>
          <w:szCs w:val="28"/>
        </w:rPr>
        <w:t xml:space="preserve"> 12 (32,43</w:t>
      </w:r>
      <w:r>
        <w:rPr>
          <w:sz w:val="28"/>
          <w:szCs w:val="28"/>
        </w:rPr>
        <w:t> </w:t>
      </w:r>
      <w:r w:rsidRPr="00A640B1">
        <w:rPr>
          <w:sz w:val="28"/>
          <w:szCs w:val="28"/>
        </w:rPr>
        <w:t xml:space="preserve">%) </w:t>
      </w:r>
      <w:r>
        <w:rPr>
          <w:sz w:val="28"/>
          <w:szCs w:val="28"/>
        </w:rPr>
        <w:t>учасників –</w:t>
      </w:r>
      <w:r w:rsidRPr="00A640B1">
        <w:rPr>
          <w:sz w:val="28"/>
          <w:szCs w:val="28"/>
        </w:rPr>
        <w:t xml:space="preserve"> жіночої статі. Вихідн</w:t>
      </w:r>
      <w:r>
        <w:rPr>
          <w:sz w:val="28"/>
          <w:szCs w:val="28"/>
        </w:rPr>
        <w:t>і</w:t>
      </w:r>
      <w:r w:rsidRPr="00A640B1">
        <w:rPr>
          <w:sz w:val="28"/>
          <w:szCs w:val="28"/>
        </w:rPr>
        <w:t xml:space="preserve"> рівні </w:t>
      </w:r>
      <w:proofErr w:type="spellStart"/>
      <w:r w:rsidRPr="00A640B1">
        <w:rPr>
          <w:sz w:val="28"/>
          <w:szCs w:val="28"/>
        </w:rPr>
        <w:t>IgG</w:t>
      </w:r>
      <w:proofErr w:type="spellEnd"/>
      <w:r w:rsidRPr="00A640B1">
        <w:rPr>
          <w:sz w:val="28"/>
          <w:szCs w:val="28"/>
        </w:rPr>
        <w:t xml:space="preserve"> перед проведенням </w:t>
      </w:r>
      <w:r>
        <w:rPr>
          <w:sz w:val="28"/>
          <w:szCs w:val="28"/>
        </w:rPr>
        <w:t>анти</w:t>
      </w:r>
      <w:r w:rsidRPr="00A640B1">
        <w:rPr>
          <w:sz w:val="28"/>
          <w:szCs w:val="28"/>
        </w:rPr>
        <w:t xml:space="preserve">-CD20 </w:t>
      </w:r>
      <w:proofErr w:type="spellStart"/>
      <w:r w:rsidRPr="00A640B1">
        <w:rPr>
          <w:sz w:val="28"/>
          <w:szCs w:val="28"/>
        </w:rPr>
        <w:t>моноклональної</w:t>
      </w:r>
      <w:proofErr w:type="spellEnd"/>
      <w:r w:rsidRPr="00A640B1">
        <w:rPr>
          <w:sz w:val="28"/>
          <w:szCs w:val="28"/>
        </w:rPr>
        <w:t xml:space="preserve"> терапі</w:t>
      </w:r>
      <w:r>
        <w:rPr>
          <w:sz w:val="28"/>
          <w:szCs w:val="28"/>
        </w:rPr>
        <w:t>ї</w:t>
      </w:r>
      <w:r w:rsidRPr="00A640B1">
        <w:rPr>
          <w:sz w:val="28"/>
          <w:szCs w:val="28"/>
        </w:rPr>
        <w:t xml:space="preserve"> не визначали </w:t>
      </w:r>
      <w:r>
        <w:rPr>
          <w:sz w:val="28"/>
          <w:szCs w:val="28"/>
        </w:rPr>
        <w:t xml:space="preserve">в </w:t>
      </w:r>
      <w:r w:rsidRPr="00A640B1">
        <w:rPr>
          <w:sz w:val="28"/>
          <w:szCs w:val="28"/>
        </w:rPr>
        <w:t>17 (45,94</w:t>
      </w:r>
      <w:r>
        <w:rPr>
          <w:sz w:val="28"/>
          <w:szCs w:val="28"/>
        </w:rPr>
        <w:t> </w:t>
      </w:r>
      <w:r w:rsidRPr="00A640B1">
        <w:rPr>
          <w:sz w:val="28"/>
          <w:szCs w:val="28"/>
        </w:rPr>
        <w:t>%) пацієнт</w:t>
      </w:r>
      <w:r>
        <w:rPr>
          <w:sz w:val="28"/>
          <w:szCs w:val="28"/>
        </w:rPr>
        <w:t>ів</w:t>
      </w:r>
      <w:r w:rsidRPr="00A640B1">
        <w:rPr>
          <w:sz w:val="28"/>
          <w:szCs w:val="28"/>
        </w:rPr>
        <w:t>. У 20 (54,05</w:t>
      </w:r>
      <w:r>
        <w:rPr>
          <w:sz w:val="28"/>
          <w:szCs w:val="28"/>
        </w:rPr>
        <w:t> </w:t>
      </w:r>
      <w:r w:rsidRPr="00A640B1">
        <w:rPr>
          <w:sz w:val="28"/>
          <w:szCs w:val="28"/>
        </w:rPr>
        <w:t xml:space="preserve">%) обстежуваних осіб, </w:t>
      </w:r>
      <w:r>
        <w:rPr>
          <w:sz w:val="28"/>
          <w:szCs w:val="28"/>
        </w:rPr>
        <w:t>я</w:t>
      </w:r>
      <w:r w:rsidRPr="00A640B1">
        <w:rPr>
          <w:sz w:val="28"/>
          <w:szCs w:val="28"/>
        </w:rPr>
        <w:t xml:space="preserve">ким виконано дослідження </w:t>
      </w:r>
      <w:r>
        <w:rPr>
          <w:sz w:val="28"/>
          <w:szCs w:val="28"/>
        </w:rPr>
        <w:t>щодо</w:t>
      </w:r>
      <w:r w:rsidRPr="00A640B1">
        <w:rPr>
          <w:sz w:val="28"/>
          <w:szCs w:val="28"/>
        </w:rPr>
        <w:t xml:space="preserve"> рівн</w:t>
      </w:r>
      <w:r>
        <w:rPr>
          <w:sz w:val="28"/>
          <w:szCs w:val="28"/>
        </w:rPr>
        <w:t>ів</w:t>
      </w:r>
      <w:r w:rsidRPr="00A640B1">
        <w:rPr>
          <w:sz w:val="28"/>
          <w:szCs w:val="28"/>
        </w:rPr>
        <w:t xml:space="preserve"> </w:t>
      </w:r>
      <w:proofErr w:type="spellStart"/>
      <w:r w:rsidRPr="00A640B1">
        <w:rPr>
          <w:sz w:val="28"/>
          <w:szCs w:val="28"/>
        </w:rPr>
        <w:t>IgG</w:t>
      </w:r>
      <w:proofErr w:type="spellEnd"/>
      <w:r w:rsidRPr="00A640B1">
        <w:rPr>
          <w:sz w:val="28"/>
          <w:szCs w:val="28"/>
        </w:rPr>
        <w:t xml:space="preserve"> до початку терапі</w:t>
      </w:r>
      <w:r>
        <w:rPr>
          <w:sz w:val="28"/>
          <w:szCs w:val="28"/>
        </w:rPr>
        <w:t>ї</w:t>
      </w:r>
      <w:r w:rsidRPr="00A640B1">
        <w:rPr>
          <w:sz w:val="28"/>
          <w:szCs w:val="28"/>
        </w:rPr>
        <w:t xml:space="preserve">, виявлено </w:t>
      </w:r>
      <w:proofErr w:type="spellStart"/>
      <w:r w:rsidRPr="00A640B1">
        <w:rPr>
          <w:sz w:val="28"/>
          <w:szCs w:val="28"/>
        </w:rPr>
        <w:t>гіпогаммаглобулінемі</w:t>
      </w:r>
      <w:r>
        <w:rPr>
          <w:sz w:val="28"/>
          <w:szCs w:val="28"/>
        </w:rPr>
        <w:t>ю</w:t>
      </w:r>
      <w:proofErr w:type="spellEnd"/>
      <w:r w:rsidRPr="00A640B1">
        <w:rPr>
          <w:sz w:val="28"/>
          <w:szCs w:val="28"/>
        </w:rPr>
        <w:t xml:space="preserve">. Після застосування </w:t>
      </w:r>
      <w:r>
        <w:rPr>
          <w:sz w:val="28"/>
          <w:szCs w:val="28"/>
        </w:rPr>
        <w:t>анти</w:t>
      </w:r>
      <w:r w:rsidRPr="00A640B1">
        <w:rPr>
          <w:sz w:val="28"/>
          <w:szCs w:val="28"/>
        </w:rPr>
        <w:t xml:space="preserve">-CD20 </w:t>
      </w:r>
      <w:proofErr w:type="spellStart"/>
      <w:r w:rsidRPr="00A640B1">
        <w:rPr>
          <w:sz w:val="28"/>
          <w:szCs w:val="28"/>
        </w:rPr>
        <w:t>моноклональної</w:t>
      </w:r>
      <w:proofErr w:type="spellEnd"/>
      <w:r w:rsidRPr="00A640B1">
        <w:rPr>
          <w:sz w:val="28"/>
          <w:szCs w:val="28"/>
        </w:rPr>
        <w:t xml:space="preserve"> терапі</w:t>
      </w:r>
      <w:r>
        <w:rPr>
          <w:sz w:val="28"/>
          <w:szCs w:val="28"/>
        </w:rPr>
        <w:t>ї</w:t>
      </w:r>
      <w:r w:rsidRPr="00A640B1">
        <w:rPr>
          <w:sz w:val="28"/>
          <w:szCs w:val="28"/>
        </w:rPr>
        <w:t xml:space="preserve"> </w:t>
      </w:r>
      <w:proofErr w:type="spellStart"/>
      <w:r w:rsidRPr="00A640B1">
        <w:rPr>
          <w:sz w:val="28"/>
          <w:szCs w:val="28"/>
        </w:rPr>
        <w:t>гіпогаммаглобулінемія</w:t>
      </w:r>
      <w:proofErr w:type="spellEnd"/>
      <w:r w:rsidRPr="00A640B1">
        <w:rPr>
          <w:sz w:val="28"/>
          <w:szCs w:val="28"/>
        </w:rPr>
        <w:t xml:space="preserve"> посилювалас</w:t>
      </w:r>
      <w:r>
        <w:rPr>
          <w:sz w:val="28"/>
          <w:szCs w:val="28"/>
        </w:rPr>
        <w:t>я</w:t>
      </w:r>
      <w:r w:rsidRPr="00A640B1">
        <w:rPr>
          <w:sz w:val="28"/>
          <w:szCs w:val="28"/>
        </w:rPr>
        <w:t>. Спостерігалос</w:t>
      </w:r>
      <w:r>
        <w:rPr>
          <w:sz w:val="28"/>
          <w:szCs w:val="28"/>
        </w:rPr>
        <w:t>я</w:t>
      </w:r>
      <w:r w:rsidRPr="00A640B1">
        <w:rPr>
          <w:sz w:val="28"/>
          <w:szCs w:val="28"/>
        </w:rPr>
        <w:t xml:space="preserve"> зростання </w:t>
      </w:r>
      <w:r>
        <w:rPr>
          <w:sz w:val="28"/>
          <w:szCs w:val="28"/>
        </w:rPr>
        <w:t xml:space="preserve">ризику </w:t>
      </w:r>
      <w:r w:rsidRPr="00A640B1">
        <w:rPr>
          <w:sz w:val="28"/>
          <w:szCs w:val="28"/>
        </w:rPr>
        <w:t xml:space="preserve">тяжких інфекцій після терапії </w:t>
      </w:r>
      <w:r>
        <w:rPr>
          <w:sz w:val="28"/>
          <w:szCs w:val="28"/>
        </w:rPr>
        <w:t>анти</w:t>
      </w:r>
      <w:r w:rsidRPr="00A640B1">
        <w:rPr>
          <w:sz w:val="28"/>
          <w:szCs w:val="28"/>
        </w:rPr>
        <w:t>-CD20 (</w:t>
      </w:r>
      <w:r>
        <w:rPr>
          <w:sz w:val="28"/>
          <w:szCs w:val="28"/>
        </w:rPr>
        <w:t>і</w:t>
      </w:r>
      <w:r w:rsidRPr="00A640B1">
        <w:rPr>
          <w:sz w:val="28"/>
          <w:szCs w:val="28"/>
        </w:rPr>
        <w:t>з 16,9 до 40,7</w:t>
      </w:r>
      <w:r>
        <w:rPr>
          <w:sz w:val="28"/>
          <w:szCs w:val="28"/>
        </w:rPr>
        <w:t> </w:t>
      </w:r>
      <w:r w:rsidRPr="00A640B1">
        <w:rPr>
          <w:sz w:val="28"/>
          <w:szCs w:val="28"/>
        </w:rPr>
        <w:t xml:space="preserve">%; р&lt;0,001). При аналізі виживання пацієнтів протягом 6 місяців від початку терапії виявлено підвищену смертність, </w:t>
      </w:r>
      <w:r>
        <w:rPr>
          <w:sz w:val="28"/>
          <w:szCs w:val="28"/>
        </w:rPr>
        <w:t>яка</w:t>
      </w:r>
      <w:r w:rsidRPr="00A640B1">
        <w:rPr>
          <w:sz w:val="28"/>
          <w:szCs w:val="28"/>
        </w:rPr>
        <w:t xml:space="preserve"> була пов’язана з</w:t>
      </w:r>
      <w:r>
        <w:rPr>
          <w:sz w:val="28"/>
          <w:szCs w:val="28"/>
        </w:rPr>
        <w:t>і</w:t>
      </w:r>
      <w:r w:rsidRPr="00A640B1">
        <w:rPr>
          <w:sz w:val="28"/>
          <w:szCs w:val="28"/>
        </w:rPr>
        <w:t xml:space="preserve"> збільшенням вікових показників (коефіцієнт ризику (</w:t>
      </w:r>
      <w:proofErr w:type="spellStart"/>
      <w:r>
        <w:rPr>
          <w:sz w:val="28"/>
          <w:szCs w:val="28"/>
        </w:rPr>
        <w:t>КР</w:t>
      </w:r>
      <w:proofErr w:type="spellEnd"/>
      <w:r w:rsidRPr="00A640B1">
        <w:rPr>
          <w:sz w:val="28"/>
          <w:szCs w:val="28"/>
        </w:rPr>
        <w:t>) 1,05; 95</w:t>
      </w:r>
      <w:r>
        <w:rPr>
          <w:sz w:val="28"/>
          <w:szCs w:val="28"/>
        </w:rPr>
        <w:t> </w:t>
      </w:r>
      <w:r w:rsidRPr="00A640B1">
        <w:rPr>
          <w:sz w:val="28"/>
          <w:szCs w:val="28"/>
        </w:rPr>
        <w:t>%</w:t>
      </w:r>
      <w:r>
        <w:rPr>
          <w:sz w:val="28"/>
          <w:szCs w:val="28"/>
        </w:rPr>
        <w:t xml:space="preserve"> довірчий інтервал (</w:t>
      </w:r>
      <w:proofErr w:type="spellStart"/>
      <w:r>
        <w:rPr>
          <w:sz w:val="28"/>
          <w:szCs w:val="28"/>
        </w:rPr>
        <w:t>ДІ</w:t>
      </w:r>
      <w:proofErr w:type="spellEnd"/>
      <w:r>
        <w:rPr>
          <w:sz w:val="28"/>
          <w:szCs w:val="28"/>
        </w:rPr>
        <w:t>)</w:t>
      </w:r>
      <w:r w:rsidRPr="00A640B1">
        <w:rPr>
          <w:sz w:val="28"/>
          <w:szCs w:val="28"/>
        </w:rPr>
        <w:t xml:space="preserve"> 1,00-1,02; p&lt;0,005), чоловічо</w:t>
      </w:r>
      <w:r>
        <w:rPr>
          <w:sz w:val="28"/>
          <w:szCs w:val="28"/>
        </w:rPr>
        <w:t>ю</w:t>
      </w:r>
      <w:r w:rsidRPr="00A640B1">
        <w:rPr>
          <w:sz w:val="28"/>
          <w:szCs w:val="28"/>
        </w:rPr>
        <w:t xml:space="preserve"> стат</w:t>
      </w:r>
      <w:r>
        <w:rPr>
          <w:sz w:val="28"/>
          <w:szCs w:val="28"/>
        </w:rPr>
        <w:t>тю</w:t>
      </w:r>
      <w:r w:rsidRPr="00A640B1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</w:t>
      </w:r>
      <w:proofErr w:type="spellEnd"/>
      <w:r w:rsidRPr="00A640B1">
        <w:rPr>
          <w:sz w:val="28"/>
          <w:szCs w:val="28"/>
        </w:rPr>
        <w:t xml:space="preserve"> 1,12; 95</w:t>
      </w:r>
      <w:r>
        <w:rPr>
          <w:sz w:val="28"/>
          <w:szCs w:val="28"/>
        </w:rPr>
        <w:t> </w:t>
      </w:r>
      <w:r w:rsidRPr="00A640B1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</w:t>
      </w:r>
      <w:proofErr w:type="spellEnd"/>
      <w:r w:rsidRPr="00A640B1">
        <w:rPr>
          <w:sz w:val="28"/>
          <w:szCs w:val="28"/>
        </w:rPr>
        <w:t xml:space="preserve"> 1,01-1,18; p&lt;0,005), тяжкими інфекційними ускладненнями (</w:t>
      </w:r>
      <w:proofErr w:type="spellStart"/>
      <w:r>
        <w:rPr>
          <w:sz w:val="28"/>
          <w:szCs w:val="28"/>
        </w:rPr>
        <w:t>КР</w:t>
      </w:r>
      <w:proofErr w:type="spellEnd"/>
      <w:r w:rsidRPr="00A640B1">
        <w:rPr>
          <w:sz w:val="28"/>
          <w:szCs w:val="28"/>
        </w:rPr>
        <w:t xml:space="preserve"> 5,18; 95</w:t>
      </w:r>
      <w:r>
        <w:rPr>
          <w:sz w:val="28"/>
          <w:szCs w:val="28"/>
        </w:rPr>
        <w:t> </w:t>
      </w:r>
      <w:r w:rsidRPr="00A640B1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</w:t>
      </w:r>
      <w:proofErr w:type="spellEnd"/>
      <w:r w:rsidRPr="00A640B1">
        <w:rPr>
          <w:sz w:val="28"/>
          <w:szCs w:val="28"/>
        </w:rPr>
        <w:t xml:space="preserve"> 3,16-4,72; p&lt;0,001). </w:t>
      </w:r>
      <w:r>
        <w:rPr>
          <w:sz w:val="28"/>
          <w:szCs w:val="28"/>
        </w:rPr>
        <w:t>У</w:t>
      </w:r>
      <w:r w:rsidRPr="00A640B1">
        <w:rPr>
          <w:sz w:val="28"/>
          <w:szCs w:val="28"/>
        </w:rPr>
        <w:t>сього 10 (27,02</w:t>
      </w:r>
      <w:r>
        <w:rPr>
          <w:sz w:val="28"/>
          <w:szCs w:val="28"/>
        </w:rPr>
        <w:t> </w:t>
      </w:r>
      <w:r w:rsidRPr="00A640B1">
        <w:rPr>
          <w:sz w:val="28"/>
          <w:szCs w:val="28"/>
        </w:rPr>
        <w:t xml:space="preserve">%) пацієнтів отримали замісну терапію </w:t>
      </w:r>
      <w:proofErr w:type="spellStart"/>
      <w:r w:rsidRPr="00A640B1">
        <w:rPr>
          <w:sz w:val="28"/>
          <w:szCs w:val="28"/>
        </w:rPr>
        <w:t>IgG</w:t>
      </w:r>
      <w:proofErr w:type="spellEnd"/>
      <w:r w:rsidRPr="00A640B1">
        <w:rPr>
          <w:sz w:val="28"/>
          <w:szCs w:val="28"/>
        </w:rPr>
        <w:t xml:space="preserve"> після застосування </w:t>
      </w:r>
      <w:r>
        <w:rPr>
          <w:sz w:val="28"/>
          <w:szCs w:val="28"/>
        </w:rPr>
        <w:t>анти</w:t>
      </w:r>
      <w:r w:rsidRPr="00A640B1">
        <w:rPr>
          <w:sz w:val="28"/>
          <w:szCs w:val="28"/>
        </w:rPr>
        <w:t xml:space="preserve">-CD20 </w:t>
      </w:r>
      <w:proofErr w:type="spellStart"/>
      <w:r w:rsidRPr="00A640B1">
        <w:rPr>
          <w:sz w:val="28"/>
          <w:szCs w:val="28"/>
        </w:rPr>
        <w:t>моноклональної</w:t>
      </w:r>
      <w:proofErr w:type="spellEnd"/>
      <w:r w:rsidRPr="00A640B1">
        <w:rPr>
          <w:sz w:val="28"/>
          <w:szCs w:val="28"/>
        </w:rPr>
        <w:t xml:space="preserve"> терапії. Серед цих пацієнтів вища кумулятивна доза замісної </w:t>
      </w:r>
      <w:proofErr w:type="spellStart"/>
      <w:r w:rsidRPr="00A640B1">
        <w:rPr>
          <w:sz w:val="28"/>
          <w:szCs w:val="28"/>
        </w:rPr>
        <w:t>імуноглобулінотерапії</w:t>
      </w:r>
      <w:proofErr w:type="spellEnd"/>
      <w:r w:rsidRPr="00A640B1">
        <w:rPr>
          <w:sz w:val="28"/>
          <w:szCs w:val="28"/>
        </w:rPr>
        <w:t xml:space="preserve"> була пов’язана з</w:t>
      </w:r>
      <w:r>
        <w:rPr>
          <w:sz w:val="28"/>
          <w:szCs w:val="28"/>
        </w:rPr>
        <w:t>і</w:t>
      </w:r>
      <w:r w:rsidRPr="00A640B1">
        <w:rPr>
          <w:sz w:val="28"/>
          <w:szCs w:val="28"/>
        </w:rPr>
        <w:t xml:space="preserve"> зниженням ризику серйозних інфекційних ускладнень (</w:t>
      </w:r>
      <w:proofErr w:type="spellStart"/>
      <w:r>
        <w:rPr>
          <w:sz w:val="28"/>
          <w:szCs w:val="28"/>
        </w:rPr>
        <w:t>КР</w:t>
      </w:r>
      <w:proofErr w:type="spellEnd"/>
      <w:r w:rsidRPr="00A640B1">
        <w:rPr>
          <w:sz w:val="28"/>
          <w:szCs w:val="28"/>
        </w:rPr>
        <w:t xml:space="preserve"> 1,00; 95</w:t>
      </w:r>
      <w:r>
        <w:rPr>
          <w:sz w:val="28"/>
          <w:szCs w:val="28"/>
        </w:rPr>
        <w:t> </w:t>
      </w:r>
      <w:r w:rsidRPr="00A640B1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</w:t>
      </w:r>
      <w:proofErr w:type="spellEnd"/>
      <w:r w:rsidRPr="00A640B1">
        <w:rPr>
          <w:sz w:val="28"/>
          <w:szCs w:val="28"/>
        </w:rPr>
        <w:t xml:space="preserve"> 0,98-1,02; p&lt;0,005).</w:t>
      </w:r>
    </w:p>
    <w:p w:rsidR="00DF3114" w:rsidRPr="00A640B1" w:rsidRDefault="00DF3114" w:rsidP="00DF3114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A640B1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 w:rsidRPr="00A640B1">
        <w:rPr>
          <w:rFonts w:ascii="Times New Roman" w:hAnsi="Times New Roman"/>
          <w:color w:val="222222"/>
          <w:sz w:val="28"/>
          <w:szCs w:val="28"/>
          <w:lang w:val="uk-UA"/>
        </w:rPr>
        <w:t xml:space="preserve"> Моніторинг рівня </w:t>
      </w:r>
      <w:proofErr w:type="spellStart"/>
      <w:r w:rsidRPr="00A640B1">
        <w:rPr>
          <w:rFonts w:ascii="Times New Roman" w:hAnsi="Times New Roman"/>
          <w:sz w:val="28"/>
          <w:szCs w:val="28"/>
          <w:lang w:val="uk-UA"/>
        </w:rPr>
        <w:t>IgG</w:t>
      </w:r>
      <w:proofErr w:type="spellEnd"/>
      <w:r w:rsidRPr="00A640B1">
        <w:rPr>
          <w:rFonts w:ascii="Times New Roman" w:hAnsi="Times New Roman"/>
          <w:color w:val="222222"/>
          <w:sz w:val="28"/>
          <w:szCs w:val="28"/>
          <w:lang w:val="uk-UA"/>
        </w:rPr>
        <w:t xml:space="preserve"> як до, так і після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анти</w:t>
      </w:r>
      <w:r w:rsidRPr="00A640B1">
        <w:rPr>
          <w:rFonts w:ascii="Times New Roman" w:hAnsi="Times New Roman"/>
          <w:sz w:val="28"/>
          <w:szCs w:val="28"/>
          <w:lang w:val="uk-UA"/>
        </w:rPr>
        <w:t>-CD20</w:t>
      </w:r>
      <w:r w:rsidRPr="00A640B1">
        <w:rPr>
          <w:rFonts w:ascii="Times New Roman" w:hAnsi="Times New Roman"/>
          <w:color w:val="222222"/>
          <w:sz w:val="28"/>
          <w:szCs w:val="28"/>
          <w:lang w:val="uk-UA"/>
        </w:rPr>
        <w:t xml:space="preserve"> терапії може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сприяти</w:t>
      </w:r>
      <w:r w:rsidRPr="00A640B1">
        <w:rPr>
          <w:rFonts w:ascii="Times New Roman" w:hAnsi="Times New Roman"/>
          <w:color w:val="222222"/>
          <w:sz w:val="28"/>
          <w:szCs w:val="28"/>
          <w:lang w:val="uk-UA"/>
        </w:rPr>
        <w:t xml:space="preserve"> більш ранн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ьому встановленню</w:t>
      </w:r>
      <w:r w:rsidRPr="00A640B1">
        <w:rPr>
          <w:rFonts w:ascii="Times New Roman" w:hAnsi="Times New Roman"/>
          <w:color w:val="222222"/>
          <w:sz w:val="28"/>
          <w:szCs w:val="28"/>
          <w:lang w:val="uk-UA"/>
        </w:rPr>
        <w:t xml:space="preserve"> ризику розвитку тяжкої інфекції </w:t>
      </w:r>
      <w:r w:rsidRPr="00A640B1"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та вияв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ленню</w:t>
      </w:r>
      <w:r w:rsidRPr="00A640B1">
        <w:rPr>
          <w:rFonts w:ascii="Times New Roman" w:hAnsi="Times New Roman"/>
          <w:color w:val="222222"/>
          <w:sz w:val="28"/>
          <w:szCs w:val="28"/>
          <w:lang w:val="uk-UA"/>
        </w:rPr>
        <w:t xml:space="preserve"> пацієнтів, яким показана замісна терапія </w:t>
      </w:r>
      <w:proofErr w:type="spellStart"/>
      <w:r w:rsidRPr="00A640B1">
        <w:rPr>
          <w:rFonts w:ascii="Times New Roman" w:hAnsi="Times New Roman"/>
          <w:sz w:val="28"/>
          <w:szCs w:val="28"/>
          <w:lang w:val="uk-UA"/>
        </w:rPr>
        <w:t>IgG</w:t>
      </w:r>
      <w:proofErr w:type="spellEnd"/>
      <w:r w:rsidRPr="00A640B1">
        <w:rPr>
          <w:rFonts w:ascii="Times New Roman" w:hAnsi="Times New Roman"/>
          <w:color w:val="222222"/>
          <w:sz w:val="28"/>
          <w:szCs w:val="28"/>
          <w:lang w:val="uk-UA"/>
        </w:rPr>
        <w:t>, що, сво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є</w:t>
      </w:r>
      <w:r w:rsidRPr="00A640B1">
        <w:rPr>
          <w:rFonts w:ascii="Times New Roman" w:hAnsi="Times New Roman"/>
          <w:color w:val="222222"/>
          <w:sz w:val="28"/>
          <w:szCs w:val="28"/>
          <w:lang w:val="uk-UA"/>
        </w:rPr>
        <w:t>ю черг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ою</w:t>
      </w:r>
      <w:r w:rsidRPr="00A640B1">
        <w:rPr>
          <w:rFonts w:ascii="Times New Roman" w:hAnsi="Times New Roman"/>
          <w:color w:val="222222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здатне забезпечити</w:t>
      </w:r>
      <w:r w:rsidRPr="00A640B1">
        <w:rPr>
          <w:rFonts w:ascii="Times New Roman" w:hAnsi="Times New Roman"/>
          <w:color w:val="222222"/>
          <w:sz w:val="28"/>
          <w:szCs w:val="28"/>
          <w:lang w:val="uk-UA"/>
        </w:rPr>
        <w:t xml:space="preserve"> зни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ження</w:t>
      </w:r>
      <w:r w:rsidRPr="00A640B1">
        <w:rPr>
          <w:rFonts w:ascii="Times New Roman" w:hAnsi="Times New Roman"/>
          <w:color w:val="222222"/>
          <w:sz w:val="28"/>
          <w:szCs w:val="28"/>
          <w:lang w:val="uk-UA"/>
        </w:rPr>
        <w:t xml:space="preserve"> рівн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ів</w:t>
      </w:r>
      <w:r w:rsidRPr="00A640B1">
        <w:rPr>
          <w:rFonts w:ascii="Times New Roman" w:hAnsi="Times New Roman"/>
          <w:color w:val="222222"/>
          <w:sz w:val="28"/>
          <w:szCs w:val="28"/>
          <w:lang w:val="uk-UA"/>
        </w:rPr>
        <w:t xml:space="preserve"> інфекційних ускладнень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і</w:t>
      </w:r>
      <w:r w:rsidRPr="00A640B1">
        <w:rPr>
          <w:rFonts w:ascii="Times New Roman" w:hAnsi="Times New Roman"/>
          <w:color w:val="222222"/>
          <w:sz w:val="28"/>
          <w:szCs w:val="28"/>
          <w:lang w:val="uk-UA"/>
        </w:rPr>
        <w:t xml:space="preserve"> смертності.</w:t>
      </w:r>
    </w:p>
    <w:p w:rsidR="00DF3114" w:rsidRDefault="00DF3114" w:rsidP="00DF3114">
      <w:pPr>
        <w:spacing w:after="120" w:line="276" w:lineRule="auto"/>
        <w:ind w:firstLine="709"/>
        <w:jc w:val="both"/>
        <w:rPr>
          <w:color w:val="222222"/>
          <w:sz w:val="28"/>
          <w:szCs w:val="28"/>
          <w:lang w:val="ru-RU"/>
        </w:rPr>
      </w:pPr>
      <w:r w:rsidRPr="00A640B1">
        <w:rPr>
          <w:b/>
          <w:sz w:val="28"/>
          <w:szCs w:val="28"/>
        </w:rPr>
        <w:t>Ключові слова:</w:t>
      </w:r>
      <w:r w:rsidRPr="00434947">
        <w:rPr>
          <w:sz w:val="28"/>
          <w:szCs w:val="28"/>
        </w:rPr>
        <w:t xml:space="preserve"> </w:t>
      </w:r>
      <w:r>
        <w:rPr>
          <w:sz w:val="28"/>
          <w:szCs w:val="28"/>
        </w:rPr>
        <w:t>анти</w:t>
      </w:r>
      <w:r w:rsidRPr="00A640B1">
        <w:rPr>
          <w:sz w:val="28"/>
          <w:szCs w:val="28"/>
        </w:rPr>
        <w:t xml:space="preserve">-CD20 </w:t>
      </w:r>
      <w:proofErr w:type="spellStart"/>
      <w:r w:rsidRPr="00A640B1">
        <w:rPr>
          <w:sz w:val="28"/>
          <w:szCs w:val="28"/>
        </w:rPr>
        <w:t>моноклональна</w:t>
      </w:r>
      <w:proofErr w:type="spellEnd"/>
      <w:r w:rsidRPr="00A640B1">
        <w:rPr>
          <w:sz w:val="28"/>
          <w:szCs w:val="28"/>
        </w:rPr>
        <w:t xml:space="preserve"> терапія, </w:t>
      </w:r>
      <w:proofErr w:type="spellStart"/>
      <w:r w:rsidRPr="00A640B1">
        <w:rPr>
          <w:sz w:val="28"/>
          <w:szCs w:val="28"/>
        </w:rPr>
        <w:t>гіпогаммаглобул</w:t>
      </w:r>
      <w:r>
        <w:rPr>
          <w:sz w:val="28"/>
          <w:szCs w:val="28"/>
        </w:rPr>
        <w:t>і</w:t>
      </w:r>
      <w:r w:rsidRPr="00A640B1">
        <w:rPr>
          <w:sz w:val="28"/>
          <w:szCs w:val="28"/>
        </w:rPr>
        <w:t>немія</w:t>
      </w:r>
      <w:proofErr w:type="spellEnd"/>
      <w:r w:rsidRPr="00A640B1">
        <w:rPr>
          <w:sz w:val="28"/>
          <w:szCs w:val="28"/>
        </w:rPr>
        <w:t xml:space="preserve">, </w:t>
      </w:r>
      <w:proofErr w:type="spellStart"/>
      <w:r w:rsidRPr="00A640B1">
        <w:rPr>
          <w:sz w:val="28"/>
          <w:szCs w:val="28"/>
        </w:rPr>
        <w:t>IgG</w:t>
      </w:r>
      <w:proofErr w:type="spellEnd"/>
      <w:r w:rsidRPr="00A640B1">
        <w:rPr>
          <w:sz w:val="28"/>
          <w:szCs w:val="28"/>
        </w:rPr>
        <w:t xml:space="preserve">, тяжкі інфекційні ускладнення, </w:t>
      </w:r>
      <w:r w:rsidRPr="00A640B1">
        <w:rPr>
          <w:color w:val="222222"/>
          <w:sz w:val="28"/>
          <w:szCs w:val="28"/>
        </w:rPr>
        <w:t>замісна терапія.</w:t>
      </w:r>
    </w:p>
    <w:p w:rsidR="00DF3114" w:rsidRDefault="00DF3114" w:rsidP="00DF3114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4"/>
          <w:i/>
          <w:sz w:val="28"/>
          <w:szCs w:val="28"/>
        </w:rPr>
        <w:t>Інфузія</w:t>
      </w:r>
      <w:proofErr w:type="spellEnd"/>
      <w:r>
        <w:rPr>
          <w:rStyle w:val="a4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DF3114" w:rsidRPr="00A640B1" w:rsidRDefault="00DF3114" w:rsidP="00DF3114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DF3114" w:rsidRPr="00E86C25" w:rsidRDefault="00DF3114" w:rsidP="00DF3114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 xml:space="preserve">Infusion intravenous </w:t>
      </w:r>
      <w:proofErr w:type="spellStart"/>
      <w:r w:rsidRPr="00E86C25">
        <w:rPr>
          <w:b/>
          <w:color w:val="222222"/>
          <w:sz w:val="32"/>
          <w:szCs w:val="28"/>
          <w:lang w:val="en-US"/>
        </w:rPr>
        <w:t>IgG</w:t>
      </w:r>
      <w:proofErr w:type="spellEnd"/>
      <w:r w:rsidRPr="00E86C25">
        <w:rPr>
          <w:b/>
          <w:sz w:val="32"/>
          <w:szCs w:val="28"/>
          <w:lang w:val="en-US"/>
        </w:rPr>
        <w:t xml:space="preserve"> replacement therapy for </w:t>
      </w:r>
      <w:proofErr w:type="spellStart"/>
      <w:r w:rsidRPr="00E86C25">
        <w:rPr>
          <w:b/>
          <w:sz w:val="32"/>
          <w:szCs w:val="28"/>
          <w:lang w:val="en-US"/>
        </w:rPr>
        <w:t>hypogammaglobulinemia</w:t>
      </w:r>
      <w:proofErr w:type="spellEnd"/>
      <w:r w:rsidRPr="00E86C25">
        <w:rPr>
          <w:b/>
          <w:sz w:val="32"/>
          <w:szCs w:val="28"/>
          <w:lang w:val="en-US"/>
        </w:rPr>
        <w:t xml:space="preserve"> after anti-CD20 monoclonal antibodies at patients with non-</w:t>
      </w:r>
      <w:proofErr w:type="spellStart"/>
      <w:r w:rsidRPr="00E86C25">
        <w:rPr>
          <w:b/>
          <w:sz w:val="32"/>
          <w:szCs w:val="28"/>
          <w:lang w:val="en-US"/>
        </w:rPr>
        <w:t>hodgkin’s</w:t>
      </w:r>
      <w:proofErr w:type="spellEnd"/>
      <w:r w:rsidRPr="00E86C25">
        <w:rPr>
          <w:b/>
          <w:sz w:val="32"/>
          <w:szCs w:val="28"/>
          <w:lang w:val="en-US"/>
        </w:rPr>
        <w:t xml:space="preserve"> malignant lymphomas</w:t>
      </w:r>
    </w:p>
    <w:p w:rsidR="00DF3114" w:rsidRPr="00E86C25" w:rsidRDefault="00DF3114" w:rsidP="00DF3114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Savchenko</w:t>
      </w:r>
      <w:proofErr w:type="spellEnd"/>
      <w:r w:rsidRPr="00E86C25">
        <w:rPr>
          <w:b/>
          <w:sz w:val="26"/>
          <w:szCs w:val="26"/>
          <w:lang w:val="en-US"/>
        </w:rPr>
        <w:t xml:space="preserve"> Ya.B.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Guseva</w:t>
      </w:r>
      <w:proofErr w:type="spellEnd"/>
      <w:r w:rsidRPr="00E86C25">
        <w:rPr>
          <w:b/>
          <w:sz w:val="26"/>
          <w:szCs w:val="26"/>
          <w:lang w:val="en-US"/>
        </w:rPr>
        <w:t xml:space="preserve"> S.A.</w:t>
      </w:r>
      <w:r w:rsidRPr="00E86C25">
        <w:rPr>
          <w:b/>
          <w:sz w:val="26"/>
          <w:szCs w:val="26"/>
          <w:vertAlign w:val="superscript"/>
          <w:lang w:val="en-US"/>
        </w:rPr>
        <w:t>2</w:t>
      </w:r>
    </w:p>
    <w:p w:rsidR="00DF3114" w:rsidRPr="00E86C25" w:rsidRDefault="00DF3114" w:rsidP="00DF3114">
      <w:pPr>
        <w:pStyle w:val="HTML"/>
        <w:spacing w:after="120" w:line="276" w:lineRule="auto"/>
        <w:jc w:val="both"/>
        <w:rPr>
          <w:rFonts w:ascii="Times New Roman" w:hAnsi="Times New Roman"/>
          <w:color w:val="222222"/>
          <w:sz w:val="26"/>
          <w:szCs w:val="26"/>
          <w:lang w:val="en-US"/>
        </w:rPr>
      </w:pPr>
      <w:r w:rsidRPr="00E86C25">
        <w:rPr>
          <w:rFonts w:ascii="Times New Roman" w:hAnsi="Times New Roman"/>
          <w:color w:val="222222"/>
          <w:sz w:val="26"/>
          <w:szCs w:val="26"/>
          <w:vertAlign w:val="superscript"/>
          <w:lang w:val="en-US"/>
        </w:rPr>
        <w:t>1</w:t>
      </w:r>
      <w:r w:rsidRPr="00E86C25">
        <w:rPr>
          <w:rFonts w:ascii="Times New Roman" w:hAnsi="Times New Roman"/>
          <w:color w:val="222222"/>
          <w:sz w:val="26"/>
          <w:szCs w:val="26"/>
          <w:lang w:val="en-US"/>
        </w:rPr>
        <w:t xml:space="preserve"> National Military Medical Clinical Center “Main Military Clinical Hospital” of the Ministry of Defense of Ukraine, Kyiv, Ukraine</w:t>
      </w:r>
    </w:p>
    <w:p w:rsidR="00DF3114" w:rsidRPr="00E86C25" w:rsidRDefault="00DF3114" w:rsidP="00DF3114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color w:val="222222"/>
          <w:sz w:val="26"/>
          <w:szCs w:val="26"/>
          <w:vertAlign w:val="superscript"/>
          <w:lang w:val="en-US"/>
        </w:rPr>
        <w:t>2</w:t>
      </w:r>
      <w:r w:rsidRPr="00E86C25">
        <w:rPr>
          <w:color w:val="222222"/>
          <w:sz w:val="26"/>
          <w:szCs w:val="26"/>
          <w:lang w:val="en-US"/>
        </w:rPr>
        <w:t xml:space="preserve"> Ukrainian Military Medical </w:t>
      </w:r>
      <w:proofErr w:type="gramStart"/>
      <w:r w:rsidRPr="00E86C25">
        <w:rPr>
          <w:color w:val="222222"/>
          <w:sz w:val="26"/>
          <w:szCs w:val="26"/>
          <w:lang w:val="en-US"/>
        </w:rPr>
        <w:t>Academy</w:t>
      </w:r>
      <w:proofErr w:type="gramEnd"/>
      <w:r w:rsidRPr="00E86C25">
        <w:rPr>
          <w:color w:val="222222"/>
          <w:sz w:val="26"/>
          <w:szCs w:val="26"/>
          <w:lang w:val="en-US"/>
        </w:rPr>
        <w:t>, Kyiv, Ukraine</w:t>
      </w:r>
    </w:p>
    <w:p w:rsidR="00DF3114" w:rsidRPr="00A640B1" w:rsidRDefault="00DF3114" w:rsidP="00DF3114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222222"/>
          <w:sz w:val="28"/>
          <w:szCs w:val="28"/>
          <w:lang w:val="en-US"/>
        </w:rPr>
        <w:t>Objective</w:t>
      </w:r>
      <w:r w:rsidRPr="00A640B1">
        <w:rPr>
          <w:rFonts w:ascii="Times New Roman" w:hAnsi="Times New Roman"/>
          <w:b/>
          <w:color w:val="222222"/>
          <w:sz w:val="28"/>
          <w:szCs w:val="28"/>
          <w:lang w:val="en-US"/>
        </w:rPr>
        <w:t>.</w:t>
      </w:r>
      <w:proofErr w:type="gramEnd"/>
      <w:r w:rsidRPr="00A640B1">
        <w:rPr>
          <w:rFonts w:ascii="Times New Roman" w:eastAsia="GuardianSansGR-Regular" w:hAnsi="Times New Roman"/>
          <w:sz w:val="28"/>
          <w:szCs w:val="28"/>
          <w:lang w:val="en-US"/>
        </w:rPr>
        <w:t xml:space="preserve"> </w:t>
      </w:r>
      <w:proofErr w:type="gramStart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Determining the risk of infectious complications in patients with 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non-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en-US"/>
        </w:rPr>
        <w:t>hodgkin’s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en-US"/>
        </w:rPr>
        <w:t xml:space="preserve"> lymphomas (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NМL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)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who received anti-CD20 monoclonal therapy and the effectiveness of intravenous 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immunoglobulin G (</w:t>
      </w:r>
      <w:proofErr w:type="spellStart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IgG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en-US"/>
        </w:rPr>
        <w:t>)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replacement therapy.</w:t>
      </w:r>
      <w:proofErr w:type="gramEnd"/>
    </w:p>
    <w:p w:rsidR="00DF3114" w:rsidRPr="00A640B1" w:rsidRDefault="00DF3114" w:rsidP="00DF3114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proofErr w:type="gramStart"/>
      <w:r w:rsidRPr="00A640B1">
        <w:rPr>
          <w:rFonts w:ascii="Times New Roman" w:hAnsi="Times New Roman"/>
          <w:b/>
          <w:color w:val="222222"/>
          <w:sz w:val="28"/>
          <w:szCs w:val="28"/>
          <w:lang w:val="en-US"/>
        </w:rPr>
        <w:t>Materials and methods.</w:t>
      </w:r>
      <w:proofErr w:type="gramEnd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A prospective analysis of data of 37 persons with NML who were treated in the hematology clinic of the National Military Medical Clinical Center 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“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Main Military Clinical Hospital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”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from January to December 2019. Statistical data processing was performed using computer programs Microsoft Office Excel 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(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2007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)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and statistical processing package </w:t>
      </w:r>
      <w:proofErr w:type="spellStart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Statistica</w:t>
      </w:r>
      <w:proofErr w:type="spellEnd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6.0 using the procedure 2×2 Tables (YI/VI/Phil, </w:t>
      </w:r>
      <w:proofErr w:type="spellStart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McNemar</w:t>
      </w:r>
      <w:proofErr w:type="spellEnd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, Fisher Exact) module Nonparametric Statistics, which uses the analysis of a four-cell conjugation table.</w:t>
      </w:r>
    </w:p>
    <w:p w:rsidR="00DF3114" w:rsidRPr="00A640B1" w:rsidRDefault="00DF3114" w:rsidP="00DF3114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proofErr w:type="gramStart"/>
      <w:r w:rsidRPr="00A640B1">
        <w:rPr>
          <w:rFonts w:ascii="Times New Roman" w:hAnsi="Times New Roman"/>
          <w:b/>
          <w:sz w:val="28"/>
          <w:szCs w:val="28"/>
          <w:lang w:val="en-US"/>
        </w:rPr>
        <w:t>Results and discussion.</w:t>
      </w:r>
      <w:proofErr w:type="gramEnd"/>
      <w:r w:rsidRPr="007134A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The mean age of patients was 56.5±1.4 years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;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12 (32.43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%) were female patients. Baseline </w:t>
      </w:r>
      <w:proofErr w:type="spellStart"/>
      <w:r w:rsidRPr="00A640B1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levels before anti-CD20 monoclonal </w:t>
      </w:r>
      <w:proofErr w:type="gramStart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therapy were</w:t>
      </w:r>
      <w:proofErr w:type="gramEnd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not determined in 17 (45.94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%) patients. </w:t>
      </w:r>
      <w:proofErr w:type="spellStart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Hypogammaglobulinemia</w:t>
      </w:r>
      <w:proofErr w:type="spellEnd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was detected in 20 (54.05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%) subjects who were tested for </w:t>
      </w:r>
      <w:proofErr w:type="spellStart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IgG</w:t>
      </w:r>
      <w:proofErr w:type="spellEnd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levels prior to anti-CD20 therapy. After administration of anti-CD20 monoclonal therapy, </w:t>
      </w:r>
      <w:proofErr w:type="spellStart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hypogammaglobulinemia</w:t>
      </w:r>
      <w:proofErr w:type="spellEnd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worsened. There was an increase in severe infections after anti-CD20 therapy (from 9.4 to 40.7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%; p&lt;0,001). An analysis of patient survival within 6 months of starting anti-CD20 monoclonal therapy revealed an increased mortality associated with an increase in age (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hazard ratio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(HR) 1.05; 95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%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 xml:space="preserve"> confidence interval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(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CI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)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1.00-1.02; p&lt;0.005), male (HR 1.12; 95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% CI 1.01-1.18; p&lt;0.005), severe infectious complications (HR 5.18; 95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% CI 3.16-4,72; p&lt;0.001). Only 10 (27.02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%) patients received </w:t>
      </w:r>
      <w:proofErr w:type="spellStart"/>
      <w:r w:rsidRPr="00A640B1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replacement therapy after anti-CD20 monoclonal therapy. Among these patients, a higher cumulative dose of immunoglobulin 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lastRenderedPageBreak/>
        <w:t>replacement therapy was associated with a reduced risk of serious infectious complications (HR 1.00; 95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 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% CI 0.98-1.02; p&lt;0.005).</w:t>
      </w:r>
    </w:p>
    <w:p w:rsidR="00DF3114" w:rsidRPr="00A640B1" w:rsidRDefault="00DF3114" w:rsidP="00DF31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color w:val="222222"/>
          <w:sz w:val="28"/>
          <w:szCs w:val="28"/>
          <w:lang w:val="en-US"/>
        </w:rPr>
      </w:pPr>
      <w:proofErr w:type="gramStart"/>
      <w:r w:rsidRPr="00A640B1">
        <w:rPr>
          <w:b/>
          <w:color w:val="222222"/>
          <w:sz w:val="28"/>
          <w:szCs w:val="28"/>
          <w:lang w:val="en-US"/>
        </w:rPr>
        <w:t>Conclusions.</w:t>
      </w:r>
      <w:proofErr w:type="gramEnd"/>
      <w:r w:rsidRPr="00A640B1">
        <w:rPr>
          <w:rFonts w:eastAsia="GuardianSansGR-Regular"/>
          <w:sz w:val="28"/>
          <w:szCs w:val="28"/>
          <w:lang w:val="en-US"/>
        </w:rPr>
        <w:t xml:space="preserve"> Monitoring of </w:t>
      </w:r>
      <w:proofErr w:type="spellStart"/>
      <w:r w:rsidRPr="00A640B1">
        <w:rPr>
          <w:sz w:val="28"/>
          <w:szCs w:val="28"/>
          <w:lang w:val="en-US"/>
        </w:rPr>
        <w:t>IgG</w:t>
      </w:r>
      <w:proofErr w:type="spellEnd"/>
      <w:r w:rsidRPr="00A640B1">
        <w:rPr>
          <w:rFonts w:eastAsia="GuardianSansGR-Regular"/>
          <w:sz w:val="28"/>
          <w:szCs w:val="28"/>
          <w:lang w:val="en-US"/>
        </w:rPr>
        <w:t xml:space="preserve"> levels both before and after </w:t>
      </w:r>
      <w:proofErr w:type="spellStart"/>
      <w:r w:rsidRPr="00A640B1">
        <w:rPr>
          <w:rFonts w:eastAsia="GuardianSansGR-Regular"/>
          <w:sz w:val="28"/>
          <w:szCs w:val="28"/>
          <w:lang w:val="en-US"/>
        </w:rPr>
        <w:t>rituximab</w:t>
      </w:r>
      <w:proofErr w:type="spellEnd"/>
      <w:r w:rsidRPr="00A640B1">
        <w:rPr>
          <w:rFonts w:eastAsia="GuardianSansGR-Regular"/>
          <w:sz w:val="28"/>
          <w:szCs w:val="28"/>
          <w:lang w:val="en-US"/>
        </w:rPr>
        <w:t xml:space="preserve"> therapy may allow for earlier identification of risk for developing significant infection and identify patients who may benefit from </w:t>
      </w:r>
      <w:proofErr w:type="spellStart"/>
      <w:r w:rsidRPr="00A640B1">
        <w:rPr>
          <w:sz w:val="28"/>
          <w:szCs w:val="28"/>
          <w:lang w:val="en-US"/>
        </w:rPr>
        <w:t>IgG</w:t>
      </w:r>
      <w:proofErr w:type="spellEnd"/>
      <w:r w:rsidRPr="00A640B1">
        <w:rPr>
          <w:rFonts w:eastAsia="GuardianSansGR-Regular"/>
          <w:sz w:val="28"/>
          <w:szCs w:val="28"/>
          <w:lang w:val="en-US"/>
        </w:rPr>
        <w:t xml:space="preserve"> replacement, which may in turn help to avoid excess morbidity and mortality.</w:t>
      </w:r>
    </w:p>
    <w:p w:rsidR="00DF3114" w:rsidRPr="00A640B1" w:rsidRDefault="00DF3114" w:rsidP="00DF3114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r w:rsidRPr="00A640B1">
        <w:rPr>
          <w:rFonts w:ascii="Times New Roman" w:hAnsi="Times New Roman"/>
          <w:b/>
          <w:color w:val="222222"/>
          <w:sz w:val="28"/>
          <w:szCs w:val="28"/>
          <w:lang w:val="en-US"/>
        </w:rPr>
        <w:t>Key words: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anti-CD20 monoclonal therapy, </w:t>
      </w:r>
      <w:proofErr w:type="spellStart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hypogammaglobulinemia</w:t>
      </w:r>
      <w:proofErr w:type="spellEnd"/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, </w:t>
      </w:r>
      <w:proofErr w:type="spellStart"/>
      <w:r w:rsidRPr="00A640B1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Pr="00A640B1">
        <w:rPr>
          <w:rFonts w:ascii="Times New Roman" w:hAnsi="Times New Roman"/>
          <w:sz w:val="28"/>
          <w:szCs w:val="28"/>
          <w:lang w:val="en-US"/>
        </w:rPr>
        <w:t>,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 xml:space="preserve"> severe infectious</w:t>
      </w:r>
      <w:r w:rsidRPr="007134AF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complications</w:t>
      </w:r>
      <w:r w:rsidRPr="007134AF">
        <w:rPr>
          <w:rFonts w:ascii="Times New Roman" w:hAnsi="Times New Roman"/>
          <w:color w:val="222222"/>
          <w:sz w:val="28"/>
          <w:szCs w:val="28"/>
          <w:lang w:val="en-US"/>
        </w:rPr>
        <w:t xml:space="preserve">, </w:t>
      </w:r>
      <w:r w:rsidRPr="00A640B1">
        <w:rPr>
          <w:rFonts w:ascii="Times New Roman" w:hAnsi="Times New Roman"/>
          <w:color w:val="222222"/>
          <w:sz w:val="28"/>
          <w:szCs w:val="28"/>
          <w:lang w:val="en-US"/>
        </w:rPr>
        <w:t>replacement therapy.</w:t>
      </w:r>
    </w:p>
    <w:p w:rsidR="00DF3114" w:rsidRDefault="00DF3114" w:rsidP="00DF3114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4"/>
          <w:i/>
          <w:sz w:val="28"/>
          <w:szCs w:val="28"/>
        </w:rPr>
        <w:t>Infusion</w:t>
      </w:r>
      <w:proofErr w:type="spellEnd"/>
      <w:r>
        <w:rPr>
          <w:rStyle w:val="a4"/>
          <w:i/>
          <w:sz w:val="28"/>
          <w:szCs w:val="28"/>
        </w:rPr>
        <w:t xml:space="preserve"> &amp; </w:t>
      </w:r>
      <w:proofErr w:type="spellStart"/>
      <w:r>
        <w:rPr>
          <w:rStyle w:val="a4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Pr="00DF3114" w:rsidRDefault="00A06D1C"/>
    <w:sectPr w:rsidR="00A06D1C" w:rsidRPr="00DF3114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ardianSansGR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114"/>
    <w:rsid w:val="00A06D1C"/>
    <w:rsid w:val="00D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14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114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rsid w:val="00DF3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F311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basedOn w:val="a0"/>
    <w:rsid w:val="00DF311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3812</Words>
  <Characters>2174</Characters>
  <Application>Microsoft Office Word</Application>
  <DocSecurity>0</DocSecurity>
  <Lines>18</Lines>
  <Paragraphs>11</Paragraphs>
  <ScaleCrop>false</ScaleCrop>
  <Company>diakov.net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2020-11-09T20:59:00Z</dcterms:created>
  <dcterms:modified xsi:type="dcterms:W3CDTF">2020-11-09T20:59:00Z</dcterms:modified>
</cp:coreProperties>
</file>