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680F" w:rsidRPr="00E86C25" w:rsidRDefault="005F680F" w:rsidP="005F680F">
      <w:pPr>
        <w:spacing w:after="120" w:line="276" w:lineRule="auto"/>
        <w:ind w:firstLine="0"/>
        <w:jc w:val="both"/>
        <w:rPr>
          <w:b/>
          <w:sz w:val="32"/>
          <w:szCs w:val="28"/>
        </w:rPr>
      </w:pPr>
      <w:bookmarkStart w:id="0" w:name="_GoBack"/>
      <w:r w:rsidRPr="00E86C25">
        <w:rPr>
          <w:b/>
          <w:sz w:val="32"/>
          <w:szCs w:val="28"/>
        </w:rPr>
        <w:t xml:space="preserve">Обґрунтування застосування інфузійної терапії </w:t>
      </w:r>
      <w:bookmarkEnd w:id="0"/>
      <w:r w:rsidRPr="00E86C25">
        <w:rPr>
          <w:b/>
          <w:sz w:val="32"/>
          <w:szCs w:val="28"/>
        </w:rPr>
        <w:t>при тяжких формах туберкульозу</w:t>
      </w:r>
    </w:p>
    <w:p w:rsidR="005F680F" w:rsidRPr="00E86C25" w:rsidRDefault="005F680F" w:rsidP="005F680F">
      <w:pPr>
        <w:spacing w:after="120" w:line="276" w:lineRule="auto"/>
        <w:ind w:firstLine="0"/>
        <w:jc w:val="both"/>
        <w:rPr>
          <w:b/>
          <w:sz w:val="26"/>
          <w:szCs w:val="26"/>
        </w:rPr>
      </w:pPr>
      <w:r w:rsidRPr="00E86C25">
        <w:rPr>
          <w:b/>
          <w:sz w:val="26"/>
          <w:szCs w:val="26"/>
        </w:rPr>
        <w:t>Тодоріко Л.Д.</w:t>
      </w:r>
      <w:r w:rsidRPr="00E86C25">
        <w:rPr>
          <w:b/>
          <w:sz w:val="26"/>
          <w:szCs w:val="26"/>
          <w:vertAlign w:val="superscript"/>
        </w:rPr>
        <w:t>1</w:t>
      </w:r>
      <w:r w:rsidRPr="00E86C25">
        <w:rPr>
          <w:b/>
          <w:sz w:val="26"/>
          <w:szCs w:val="26"/>
        </w:rPr>
        <w:t>, Підвербецька О.В.</w:t>
      </w:r>
      <w:r w:rsidRPr="00E86C25">
        <w:rPr>
          <w:b/>
          <w:sz w:val="26"/>
          <w:szCs w:val="26"/>
          <w:vertAlign w:val="superscript"/>
        </w:rPr>
        <w:t>1</w:t>
      </w:r>
      <w:r w:rsidRPr="00E86C25">
        <w:rPr>
          <w:b/>
          <w:sz w:val="26"/>
          <w:szCs w:val="26"/>
        </w:rPr>
        <w:t>, Сем’янів І.О.</w:t>
      </w:r>
      <w:r w:rsidRPr="00E86C25">
        <w:rPr>
          <w:b/>
          <w:sz w:val="26"/>
          <w:szCs w:val="26"/>
          <w:vertAlign w:val="superscript"/>
        </w:rPr>
        <w:t>1</w:t>
      </w:r>
      <w:r w:rsidRPr="00E86C25">
        <w:rPr>
          <w:b/>
          <w:sz w:val="26"/>
          <w:szCs w:val="26"/>
        </w:rPr>
        <w:t>, Єременчук І.В.</w:t>
      </w:r>
      <w:r w:rsidRPr="00E86C25">
        <w:rPr>
          <w:b/>
          <w:sz w:val="26"/>
          <w:szCs w:val="26"/>
          <w:vertAlign w:val="superscript"/>
        </w:rPr>
        <w:t>1</w:t>
      </w:r>
      <w:r w:rsidRPr="00E86C25">
        <w:rPr>
          <w:b/>
          <w:sz w:val="26"/>
          <w:szCs w:val="26"/>
        </w:rPr>
        <w:t>, Кужко М.М.</w:t>
      </w:r>
      <w:r w:rsidRPr="00E86C25">
        <w:rPr>
          <w:b/>
          <w:sz w:val="26"/>
          <w:szCs w:val="26"/>
          <w:vertAlign w:val="superscript"/>
        </w:rPr>
        <w:t>2</w:t>
      </w:r>
    </w:p>
    <w:p w:rsidR="005F680F" w:rsidRPr="00E86C25" w:rsidRDefault="005F680F" w:rsidP="005F680F">
      <w:pPr>
        <w:spacing w:after="120" w:line="276" w:lineRule="auto"/>
        <w:ind w:firstLine="0"/>
        <w:jc w:val="both"/>
        <w:rPr>
          <w:sz w:val="26"/>
          <w:szCs w:val="26"/>
        </w:rPr>
      </w:pPr>
      <w:r w:rsidRPr="00E86C25">
        <w:rPr>
          <w:sz w:val="26"/>
          <w:szCs w:val="26"/>
          <w:vertAlign w:val="superscript"/>
        </w:rPr>
        <w:t>1</w:t>
      </w:r>
      <w:r w:rsidRPr="00E86C25">
        <w:rPr>
          <w:sz w:val="26"/>
          <w:szCs w:val="26"/>
        </w:rPr>
        <w:t xml:space="preserve"> Вищий державний навчальний заклад України «Буковинський державний медичний університет, м. Чернівці, Україна</w:t>
      </w:r>
    </w:p>
    <w:p w:rsidR="005F680F" w:rsidRPr="00E86C25" w:rsidRDefault="005F680F" w:rsidP="005F680F">
      <w:pPr>
        <w:spacing w:after="120" w:line="276" w:lineRule="auto"/>
        <w:ind w:firstLine="0"/>
        <w:jc w:val="both"/>
        <w:rPr>
          <w:sz w:val="26"/>
          <w:szCs w:val="26"/>
        </w:rPr>
      </w:pPr>
      <w:r w:rsidRPr="00E86C25">
        <w:rPr>
          <w:sz w:val="26"/>
          <w:szCs w:val="26"/>
          <w:vertAlign w:val="superscript"/>
        </w:rPr>
        <w:t>2</w:t>
      </w:r>
      <w:r w:rsidRPr="00E86C25">
        <w:rPr>
          <w:sz w:val="26"/>
          <w:szCs w:val="26"/>
        </w:rPr>
        <w:t xml:space="preserve"> Національний інститут фтизіатрії і пульмонології ім. Ф.Г. Яновського НАМН України, м. Київ, Україна</w:t>
      </w:r>
    </w:p>
    <w:p w:rsidR="005F680F" w:rsidRPr="00C95026" w:rsidRDefault="005F680F" w:rsidP="005F680F">
      <w:pPr>
        <w:spacing w:after="120" w:line="276" w:lineRule="auto"/>
        <w:ind w:firstLine="709"/>
        <w:jc w:val="both"/>
        <w:rPr>
          <w:sz w:val="28"/>
          <w:szCs w:val="28"/>
        </w:rPr>
      </w:pPr>
      <w:r w:rsidRPr="00C95026">
        <w:rPr>
          <w:b/>
          <w:sz w:val="28"/>
          <w:szCs w:val="28"/>
        </w:rPr>
        <w:t>Мета</w:t>
      </w:r>
      <w:r w:rsidRPr="00BE612F">
        <w:rPr>
          <w:b/>
          <w:sz w:val="28"/>
          <w:szCs w:val="28"/>
        </w:rPr>
        <w:t>.</w:t>
      </w:r>
      <w:r w:rsidRPr="00C95026">
        <w:rPr>
          <w:sz w:val="28"/>
          <w:szCs w:val="28"/>
        </w:rPr>
        <w:t xml:space="preserve"> Аналіз поширеності </w:t>
      </w:r>
      <w:r>
        <w:rPr>
          <w:sz w:val="28"/>
          <w:szCs w:val="28"/>
        </w:rPr>
        <w:t>тя</w:t>
      </w:r>
      <w:r w:rsidRPr="00C95026">
        <w:rPr>
          <w:sz w:val="28"/>
          <w:szCs w:val="28"/>
        </w:rPr>
        <w:t xml:space="preserve">жких випадків туберкульозу </w:t>
      </w:r>
      <w:r>
        <w:rPr>
          <w:sz w:val="28"/>
          <w:szCs w:val="28"/>
        </w:rPr>
        <w:t>(ТБ) й</w:t>
      </w:r>
      <w:r w:rsidRPr="00C95026">
        <w:rPr>
          <w:sz w:val="28"/>
          <w:szCs w:val="28"/>
        </w:rPr>
        <w:t xml:space="preserve"> оцінка ефективності лікування при застосуванні інфузійних протитуберкульозних препаратів у стандартних схемах.</w:t>
      </w:r>
    </w:p>
    <w:p w:rsidR="005F680F" w:rsidRPr="00C95026" w:rsidRDefault="005F680F" w:rsidP="005F680F">
      <w:pPr>
        <w:spacing w:after="120" w:line="276" w:lineRule="auto"/>
        <w:ind w:firstLine="709"/>
        <w:jc w:val="both"/>
        <w:rPr>
          <w:sz w:val="28"/>
          <w:szCs w:val="28"/>
        </w:rPr>
      </w:pPr>
      <w:r w:rsidRPr="00C95026">
        <w:rPr>
          <w:b/>
          <w:sz w:val="28"/>
          <w:szCs w:val="28"/>
        </w:rPr>
        <w:t>Матеріал</w:t>
      </w:r>
      <w:r>
        <w:rPr>
          <w:b/>
          <w:sz w:val="28"/>
          <w:szCs w:val="28"/>
        </w:rPr>
        <w:t>и</w:t>
      </w:r>
      <w:r w:rsidRPr="00C95026">
        <w:rPr>
          <w:b/>
          <w:sz w:val="28"/>
          <w:szCs w:val="28"/>
        </w:rPr>
        <w:t xml:space="preserve"> та методи</w:t>
      </w:r>
      <w:r w:rsidRPr="00BE612F">
        <w:rPr>
          <w:b/>
          <w:sz w:val="28"/>
          <w:szCs w:val="28"/>
        </w:rPr>
        <w:t>.</w:t>
      </w:r>
      <w:r w:rsidRPr="00C95026">
        <w:rPr>
          <w:sz w:val="28"/>
          <w:szCs w:val="28"/>
          <w:lang w:eastAsia="uk-UA"/>
        </w:rPr>
        <w:t xml:space="preserve"> </w:t>
      </w:r>
      <w:r w:rsidRPr="00C95026">
        <w:rPr>
          <w:sz w:val="28"/>
          <w:szCs w:val="28"/>
        </w:rPr>
        <w:t>Проведен</w:t>
      </w:r>
      <w:r>
        <w:rPr>
          <w:sz w:val="28"/>
          <w:szCs w:val="28"/>
        </w:rPr>
        <w:t>о</w:t>
      </w:r>
      <w:r w:rsidRPr="00C95026">
        <w:rPr>
          <w:sz w:val="28"/>
          <w:szCs w:val="28"/>
        </w:rPr>
        <w:t xml:space="preserve"> ретроспективний аналіз за 2017-2019 рр. електронної бази реєстру пацієнтів </w:t>
      </w:r>
      <w:r>
        <w:rPr>
          <w:sz w:val="28"/>
          <w:szCs w:val="28"/>
        </w:rPr>
        <w:t>і</w:t>
      </w:r>
      <w:r w:rsidRPr="00C95026">
        <w:rPr>
          <w:sz w:val="28"/>
          <w:szCs w:val="28"/>
        </w:rPr>
        <w:t xml:space="preserve"> медичних карт</w:t>
      </w:r>
      <w:r>
        <w:rPr>
          <w:sz w:val="28"/>
          <w:szCs w:val="28"/>
        </w:rPr>
        <w:t>ок</w:t>
      </w:r>
      <w:r w:rsidRPr="00C95026">
        <w:rPr>
          <w:sz w:val="28"/>
          <w:szCs w:val="28"/>
        </w:rPr>
        <w:t xml:space="preserve"> стаціонарного хворого КУ «Чернівецький обласний клінічний протитуберкульозний диспансер».</w:t>
      </w:r>
    </w:p>
    <w:p w:rsidR="005F680F" w:rsidRPr="00C95026" w:rsidRDefault="005F680F" w:rsidP="005F680F">
      <w:pPr>
        <w:spacing w:after="120" w:line="276" w:lineRule="auto"/>
        <w:ind w:firstLine="709"/>
        <w:jc w:val="both"/>
        <w:rPr>
          <w:sz w:val="28"/>
          <w:szCs w:val="28"/>
          <w:lang w:eastAsia="uk-UA"/>
        </w:rPr>
      </w:pPr>
      <w:r w:rsidRPr="00C95026">
        <w:rPr>
          <w:b/>
          <w:sz w:val="28"/>
          <w:szCs w:val="28"/>
        </w:rPr>
        <w:t xml:space="preserve">Результати та </w:t>
      </w:r>
      <w:r>
        <w:rPr>
          <w:b/>
          <w:sz w:val="28"/>
          <w:szCs w:val="28"/>
        </w:rPr>
        <w:t xml:space="preserve">їх </w:t>
      </w:r>
      <w:r w:rsidRPr="00C95026">
        <w:rPr>
          <w:b/>
          <w:sz w:val="28"/>
          <w:szCs w:val="28"/>
        </w:rPr>
        <w:t>обговорення</w:t>
      </w:r>
      <w:r w:rsidRPr="00BE612F">
        <w:rPr>
          <w:b/>
          <w:sz w:val="28"/>
          <w:szCs w:val="28"/>
        </w:rPr>
        <w:t>.</w:t>
      </w:r>
      <w:r w:rsidRPr="00C95026">
        <w:rPr>
          <w:sz w:val="28"/>
          <w:szCs w:val="28"/>
          <w:lang w:eastAsia="uk-UA"/>
        </w:rPr>
        <w:t xml:space="preserve"> </w:t>
      </w:r>
      <w:r w:rsidRPr="00C95026">
        <w:rPr>
          <w:bCs/>
          <w:sz w:val="28"/>
          <w:szCs w:val="28"/>
        </w:rPr>
        <w:t>Від 16 до 46</w:t>
      </w:r>
      <w:r>
        <w:rPr>
          <w:bCs/>
          <w:sz w:val="28"/>
          <w:szCs w:val="28"/>
        </w:rPr>
        <w:t> %</w:t>
      </w:r>
      <w:r w:rsidRPr="00C95026">
        <w:rPr>
          <w:bCs/>
          <w:sz w:val="28"/>
          <w:szCs w:val="28"/>
        </w:rPr>
        <w:t xml:space="preserve"> пацієнтів </w:t>
      </w:r>
      <w:r>
        <w:rPr>
          <w:bCs/>
          <w:sz w:val="28"/>
          <w:szCs w:val="28"/>
        </w:rPr>
        <w:t>і</w:t>
      </w:r>
      <w:r w:rsidRPr="00C95026">
        <w:rPr>
          <w:bCs/>
          <w:sz w:val="28"/>
          <w:szCs w:val="28"/>
        </w:rPr>
        <w:t>з туберкульозною інфекцією мають супутні ознаки цукрового діабету.</w:t>
      </w:r>
      <w:r w:rsidRPr="00C95026">
        <w:rPr>
          <w:sz w:val="28"/>
          <w:szCs w:val="28"/>
          <w:lang w:eastAsia="uk-UA"/>
        </w:rPr>
        <w:t xml:space="preserve"> </w:t>
      </w:r>
      <w:r w:rsidRPr="00C95026">
        <w:rPr>
          <w:sz w:val="28"/>
          <w:szCs w:val="28"/>
        </w:rPr>
        <w:t>У 58,9</w:t>
      </w:r>
      <w:r>
        <w:rPr>
          <w:sz w:val="28"/>
          <w:szCs w:val="28"/>
        </w:rPr>
        <w:t> %</w:t>
      </w:r>
      <w:r w:rsidRPr="00C95026">
        <w:rPr>
          <w:sz w:val="28"/>
          <w:szCs w:val="28"/>
        </w:rPr>
        <w:t xml:space="preserve"> хворих </w:t>
      </w:r>
      <w:r>
        <w:rPr>
          <w:sz w:val="28"/>
          <w:szCs w:val="28"/>
        </w:rPr>
        <w:t>у разі</w:t>
      </w:r>
      <w:r w:rsidRPr="00C95026">
        <w:rPr>
          <w:sz w:val="28"/>
          <w:szCs w:val="28"/>
        </w:rPr>
        <w:t xml:space="preserve"> чутливо</w:t>
      </w:r>
      <w:r>
        <w:rPr>
          <w:sz w:val="28"/>
          <w:szCs w:val="28"/>
        </w:rPr>
        <w:t>го</w:t>
      </w:r>
      <w:r w:rsidRPr="00C95026">
        <w:rPr>
          <w:sz w:val="28"/>
          <w:szCs w:val="28"/>
        </w:rPr>
        <w:t xml:space="preserve"> ТБ достовірно знижується всмоктувальна здатність тонкої кишки з переважним зменшенням показника киш</w:t>
      </w:r>
      <w:r>
        <w:rPr>
          <w:sz w:val="28"/>
          <w:szCs w:val="28"/>
        </w:rPr>
        <w:t>ков</w:t>
      </w:r>
      <w:r w:rsidRPr="00C95026">
        <w:rPr>
          <w:sz w:val="28"/>
          <w:szCs w:val="28"/>
        </w:rPr>
        <w:t>ої проникності від 3,1 до 6 (у 21,9</w:t>
      </w:r>
      <w:r>
        <w:rPr>
          <w:sz w:val="28"/>
          <w:szCs w:val="28"/>
        </w:rPr>
        <w:t> %</w:t>
      </w:r>
      <w:r w:rsidRPr="00C95026">
        <w:rPr>
          <w:sz w:val="28"/>
          <w:szCs w:val="28"/>
        </w:rPr>
        <w:t xml:space="preserve"> випадків). </w:t>
      </w:r>
      <w:r>
        <w:rPr>
          <w:sz w:val="28"/>
          <w:szCs w:val="28"/>
        </w:rPr>
        <w:t xml:space="preserve">У разі мультирезистентного </w:t>
      </w:r>
      <w:r w:rsidRPr="00C95026">
        <w:rPr>
          <w:sz w:val="28"/>
          <w:szCs w:val="28"/>
        </w:rPr>
        <w:t xml:space="preserve">ТБ зниження абсорбтивної функції кишечника спостерігається </w:t>
      </w:r>
      <w:r>
        <w:rPr>
          <w:sz w:val="28"/>
          <w:szCs w:val="28"/>
        </w:rPr>
        <w:t>в</w:t>
      </w:r>
      <w:r w:rsidRPr="00C95026">
        <w:rPr>
          <w:sz w:val="28"/>
          <w:szCs w:val="28"/>
        </w:rPr>
        <w:t xml:space="preserve"> 76,1</w:t>
      </w:r>
      <w:r>
        <w:rPr>
          <w:sz w:val="28"/>
          <w:szCs w:val="28"/>
        </w:rPr>
        <w:t> %</w:t>
      </w:r>
      <w:r w:rsidRPr="00C95026">
        <w:rPr>
          <w:sz w:val="28"/>
          <w:szCs w:val="28"/>
        </w:rPr>
        <w:t xml:space="preserve"> випадків </w:t>
      </w:r>
      <w:r>
        <w:rPr>
          <w:sz w:val="28"/>
          <w:szCs w:val="28"/>
        </w:rPr>
        <w:t>і</w:t>
      </w:r>
      <w:r w:rsidRPr="00C95026">
        <w:rPr>
          <w:sz w:val="28"/>
          <w:szCs w:val="28"/>
        </w:rPr>
        <w:t xml:space="preserve">з переважанням </w:t>
      </w:r>
      <w:r>
        <w:rPr>
          <w:sz w:val="28"/>
          <w:szCs w:val="28"/>
        </w:rPr>
        <w:t>тя</w:t>
      </w:r>
      <w:r w:rsidRPr="00C95026">
        <w:rPr>
          <w:sz w:val="28"/>
          <w:szCs w:val="28"/>
        </w:rPr>
        <w:t>жкого ступеня порушення (</w:t>
      </w:r>
      <w:r>
        <w:rPr>
          <w:sz w:val="28"/>
          <w:szCs w:val="28"/>
        </w:rPr>
        <w:t>в</w:t>
      </w:r>
      <w:r w:rsidRPr="00C95026">
        <w:rPr>
          <w:sz w:val="28"/>
          <w:szCs w:val="28"/>
        </w:rPr>
        <w:t xml:space="preserve"> 42,3</w:t>
      </w:r>
      <w:r>
        <w:rPr>
          <w:sz w:val="28"/>
          <w:szCs w:val="28"/>
        </w:rPr>
        <w:t> %</w:t>
      </w:r>
      <w:r w:rsidRPr="00C95026">
        <w:rPr>
          <w:sz w:val="28"/>
          <w:szCs w:val="28"/>
        </w:rPr>
        <w:t xml:space="preserve"> хворих).</w:t>
      </w:r>
      <w:r w:rsidRPr="00C95026">
        <w:rPr>
          <w:sz w:val="28"/>
          <w:szCs w:val="28"/>
          <w:lang w:eastAsia="uk-UA"/>
        </w:rPr>
        <w:t xml:space="preserve"> Питома вага </w:t>
      </w:r>
      <w:r>
        <w:rPr>
          <w:sz w:val="28"/>
          <w:szCs w:val="28"/>
          <w:lang w:eastAsia="uk-UA"/>
        </w:rPr>
        <w:t>тя</w:t>
      </w:r>
      <w:r w:rsidRPr="00C95026">
        <w:rPr>
          <w:sz w:val="28"/>
          <w:szCs w:val="28"/>
          <w:lang w:eastAsia="uk-UA"/>
        </w:rPr>
        <w:t>жких форм чутливого ТБ</w:t>
      </w:r>
      <w:r>
        <w:rPr>
          <w:sz w:val="28"/>
          <w:szCs w:val="28"/>
          <w:lang w:eastAsia="uk-UA"/>
        </w:rPr>
        <w:t xml:space="preserve"> становить понад</w:t>
      </w:r>
      <w:r w:rsidRPr="00C95026">
        <w:rPr>
          <w:sz w:val="28"/>
          <w:szCs w:val="28"/>
          <w:lang w:eastAsia="uk-UA"/>
        </w:rPr>
        <w:t xml:space="preserve"> 42</w:t>
      </w:r>
      <w:r>
        <w:rPr>
          <w:sz w:val="28"/>
          <w:szCs w:val="28"/>
          <w:lang w:eastAsia="uk-UA"/>
        </w:rPr>
        <w:t> % випадків</w:t>
      </w:r>
      <w:r w:rsidRPr="00C95026">
        <w:rPr>
          <w:sz w:val="28"/>
          <w:szCs w:val="28"/>
          <w:lang w:eastAsia="uk-UA"/>
        </w:rPr>
        <w:t xml:space="preserve">, </w:t>
      </w:r>
      <w:r>
        <w:rPr>
          <w:sz w:val="28"/>
          <w:szCs w:val="28"/>
          <w:lang w:eastAsia="uk-UA"/>
        </w:rPr>
        <w:t>і</w:t>
      </w:r>
      <w:r w:rsidRPr="00C95026">
        <w:rPr>
          <w:sz w:val="28"/>
          <w:szCs w:val="28"/>
          <w:lang w:eastAsia="uk-UA"/>
        </w:rPr>
        <w:t>з них у 69,6±1,6</w:t>
      </w:r>
      <w:r>
        <w:rPr>
          <w:sz w:val="28"/>
          <w:szCs w:val="28"/>
          <w:lang w:eastAsia="uk-UA"/>
        </w:rPr>
        <w:t> %</w:t>
      </w:r>
      <w:r w:rsidRPr="00C95026">
        <w:rPr>
          <w:sz w:val="28"/>
          <w:szCs w:val="28"/>
          <w:lang w:eastAsia="uk-UA"/>
        </w:rPr>
        <w:t xml:space="preserve"> бул</w:t>
      </w:r>
      <w:r>
        <w:rPr>
          <w:sz w:val="28"/>
          <w:szCs w:val="28"/>
          <w:lang w:eastAsia="uk-UA"/>
        </w:rPr>
        <w:t>о</w:t>
      </w:r>
      <w:r w:rsidRPr="00C95026">
        <w:rPr>
          <w:sz w:val="28"/>
          <w:szCs w:val="28"/>
          <w:lang w:eastAsia="uk-UA"/>
        </w:rPr>
        <w:t xml:space="preserve"> діагностован</w:t>
      </w:r>
      <w:r>
        <w:rPr>
          <w:sz w:val="28"/>
          <w:szCs w:val="28"/>
          <w:lang w:eastAsia="uk-UA"/>
        </w:rPr>
        <w:t>о</w:t>
      </w:r>
      <w:r w:rsidRPr="00C95026">
        <w:rPr>
          <w:sz w:val="28"/>
          <w:szCs w:val="28"/>
          <w:lang w:eastAsia="uk-UA"/>
        </w:rPr>
        <w:t xml:space="preserve"> деструкції. Частка поширених форм ТБ серед усіх випадків хіміорезистентного ТБ (ХРТБ), </w:t>
      </w:r>
      <w:r>
        <w:rPr>
          <w:sz w:val="28"/>
          <w:szCs w:val="28"/>
          <w:lang w:eastAsia="uk-UA"/>
        </w:rPr>
        <w:t>які</w:t>
      </w:r>
      <w:r w:rsidRPr="00C95026">
        <w:rPr>
          <w:sz w:val="28"/>
          <w:szCs w:val="28"/>
          <w:lang w:eastAsia="uk-UA"/>
        </w:rPr>
        <w:t xml:space="preserve"> лікуються за </w:t>
      </w:r>
      <w:r>
        <w:rPr>
          <w:sz w:val="28"/>
          <w:szCs w:val="28"/>
          <w:lang w:val="en-US" w:eastAsia="uk-UA"/>
        </w:rPr>
        <w:t>IV</w:t>
      </w:r>
      <w:r w:rsidRPr="00C95026">
        <w:rPr>
          <w:sz w:val="28"/>
          <w:szCs w:val="28"/>
          <w:lang w:eastAsia="uk-UA"/>
        </w:rPr>
        <w:t xml:space="preserve"> категорією</w:t>
      </w:r>
      <w:r>
        <w:rPr>
          <w:sz w:val="28"/>
          <w:szCs w:val="28"/>
          <w:lang w:eastAsia="uk-UA"/>
        </w:rPr>
        <w:t>,</w:t>
      </w:r>
      <w:r w:rsidRPr="00C95026">
        <w:rPr>
          <w:sz w:val="28"/>
          <w:szCs w:val="28"/>
          <w:lang w:eastAsia="uk-UA"/>
        </w:rPr>
        <w:t xml:space="preserve"> становить 47</w:t>
      </w:r>
      <w:r>
        <w:rPr>
          <w:sz w:val="28"/>
          <w:szCs w:val="28"/>
          <w:lang w:eastAsia="uk-UA"/>
        </w:rPr>
        <w:t> %</w:t>
      </w:r>
      <w:r w:rsidRPr="00C95026">
        <w:rPr>
          <w:sz w:val="28"/>
          <w:szCs w:val="28"/>
          <w:lang w:eastAsia="uk-UA"/>
        </w:rPr>
        <w:t>,</w:t>
      </w:r>
      <w:r>
        <w:rPr>
          <w:sz w:val="28"/>
          <w:szCs w:val="28"/>
          <w:lang w:eastAsia="uk-UA"/>
        </w:rPr>
        <w:t xml:space="preserve"> і</w:t>
      </w:r>
      <w:r w:rsidRPr="00C95026">
        <w:rPr>
          <w:sz w:val="28"/>
          <w:szCs w:val="28"/>
          <w:lang w:eastAsia="uk-UA"/>
        </w:rPr>
        <w:t xml:space="preserve">з них деструктивних форм </w:t>
      </w:r>
      <w:r>
        <w:rPr>
          <w:sz w:val="28"/>
          <w:szCs w:val="28"/>
          <w:lang w:eastAsia="uk-UA"/>
        </w:rPr>
        <w:t>–</w:t>
      </w:r>
      <w:r w:rsidRPr="00C95026">
        <w:rPr>
          <w:sz w:val="28"/>
          <w:szCs w:val="28"/>
          <w:lang w:eastAsia="uk-UA"/>
        </w:rPr>
        <w:t xml:space="preserve"> 78,5±3,6</w:t>
      </w:r>
      <w:r>
        <w:rPr>
          <w:sz w:val="28"/>
          <w:szCs w:val="28"/>
          <w:lang w:eastAsia="uk-UA"/>
        </w:rPr>
        <w:t> %</w:t>
      </w:r>
      <w:r w:rsidRPr="00C95026">
        <w:rPr>
          <w:sz w:val="28"/>
          <w:szCs w:val="28"/>
          <w:lang w:eastAsia="uk-UA"/>
        </w:rPr>
        <w:t xml:space="preserve">. Частота побічних реакцій зростає при </w:t>
      </w:r>
      <w:r>
        <w:rPr>
          <w:sz w:val="28"/>
          <w:szCs w:val="28"/>
          <w:lang w:eastAsia="uk-UA"/>
        </w:rPr>
        <w:t>тя</w:t>
      </w:r>
      <w:r w:rsidRPr="00C95026">
        <w:rPr>
          <w:sz w:val="28"/>
          <w:szCs w:val="28"/>
          <w:lang w:eastAsia="uk-UA"/>
        </w:rPr>
        <w:t>жких формах ХРТБ і становить 38</w:t>
      </w:r>
      <w:r>
        <w:rPr>
          <w:sz w:val="28"/>
          <w:szCs w:val="28"/>
          <w:lang w:eastAsia="uk-UA"/>
        </w:rPr>
        <w:t> %</w:t>
      </w:r>
      <w:r w:rsidRPr="00C95026">
        <w:rPr>
          <w:sz w:val="28"/>
          <w:szCs w:val="28"/>
          <w:lang w:eastAsia="uk-UA"/>
        </w:rPr>
        <w:t xml:space="preserve"> від усіх аналіз</w:t>
      </w:r>
      <w:r>
        <w:rPr>
          <w:sz w:val="28"/>
          <w:szCs w:val="28"/>
          <w:lang w:eastAsia="uk-UA"/>
        </w:rPr>
        <w:t>ован</w:t>
      </w:r>
      <w:r w:rsidRPr="00C95026">
        <w:rPr>
          <w:sz w:val="28"/>
          <w:szCs w:val="28"/>
          <w:lang w:eastAsia="uk-UA"/>
        </w:rPr>
        <w:t>их випадків.</w:t>
      </w:r>
    </w:p>
    <w:p w:rsidR="005F680F" w:rsidRPr="00C95026" w:rsidRDefault="005F680F" w:rsidP="005F680F">
      <w:pPr>
        <w:spacing w:after="120" w:line="276" w:lineRule="auto"/>
        <w:ind w:firstLine="709"/>
        <w:jc w:val="both"/>
        <w:rPr>
          <w:sz w:val="28"/>
          <w:szCs w:val="28"/>
          <w:lang w:eastAsia="uk-UA"/>
        </w:rPr>
      </w:pPr>
      <w:r w:rsidRPr="00C95026">
        <w:rPr>
          <w:b/>
          <w:sz w:val="28"/>
          <w:szCs w:val="28"/>
        </w:rPr>
        <w:t>Висновки</w:t>
      </w:r>
      <w:r w:rsidRPr="00B12CB5">
        <w:rPr>
          <w:b/>
          <w:sz w:val="28"/>
          <w:szCs w:val="28"/>
        </w:rPr>
        <w:t>.</w:t>
      </w:r>
      <w:r w:rsidRPr="00C95026">
        <w:rPr>
          <w:sz w:val="28"/>
          <w:szCs w:val="28"/>
          <w:lang w:eastAsia="uk-UA"/>
        </w:rPr>
        <w:t xml:space="preserve"> Раннє виявлення хворих </w:t>
      </w:r>
      <w:r>
        <w:rPr>
          <w:sz w:val="28"/>
          <w:szCs w:val="28"/>
          <w:lang w:eastAsia="uk-UA"/>
        </w:rPr>
        <w:t>і</w:t>
      </w:r>
      <w:r w:rsidRPr="00C95026">
        <w:rPr>
          <w:sz w:val="28"/>
          <w:szCs w:val="28"/>
          <w:lang w:eastAsia="uk-UA"/>
        </w:rPr>
        <w:t xml:space="preserve">з </w:t>
      </w:r>
      <w:r>
        <w:rPr>
          <w:sz w:val="28"/>
          <w:szCs w:val="28"/>
          <w:lang w:eastAsia="uk-UA"/>
        </w:rPr>
        <w:t>тя</w:t>
      </w:r>
      <w:r w:rsidRPr="00C95026">
        <w:rPr>
          <w:sz w:val="28"/>
          <w:szCs w:val="28"/>
          <w:lang w:eastAsia="uk-UA"/>
        </w:rPr>
        <w:t xml:space="preserve">жкими формами </w:t>
      </w:r>
      <w:r>
        <w:rPr>
          <w:sz w:val="28"/>
          <w:szCs w:val="28"/>
          <w:lang w:eastAsia="uk-UA"/>
        </w:rPr>
        <w:t>ТБ</w:t>
      </w:r>
      <w:r w:rsidRPr="00C95026">
        <w:rPr>
          <w:sz w:val="28"/>
          <w:szCs w:val="28"/>
          <w:lang w:eastAsia="uk-UA"/>
        </w:rPr>
        <w:t xml:space="preserve">, </w:t>
      </w:r>
      <w:r>
        <w:rPr>
          <w:sz w:val="28"/>
          <w:szCs w:val="28"/>
          <w:lang w:eastAsia="uk-UA"/>
        </w:rPr>
        <w:t>зокрема за</w:t>
      </w:r>
      <w:r w:rsidRPr="00C95026">
        <w:rPr>
          <w:sz w:val="28"/>
          <w:szCs w:val="28"/>
          <w:lang w:eastAsia="uk-UA"/>
        </w:rPr>
        <w:t xml:space="preserve"> наявності супутньої патології</w:t>
      </w:r>
      <w:r>
        <w:rPr>
          <w:sz w:val="28"/>
          <w:szCs w:val="28"/>
          <w:lang w:eastAsia="uk-UA"/>
        </w:rPr>
        <w:t>,</w:t>
      </w:r>
      <w:r w:rsidRPr="00C95026">
        <w:rPr>
          <w:sz w:val="28"/>
          <w:szCs w:val="28"/>
          <w:lang w:eastAsia="uk-UA"/>
        </w:rPr>
        <w:t xml:space="preserve"> та виділення їх в окрему категорію «</w:t>
      </w:r>
      <w:r>
        <w:rPr>
          <w:sz w:val="28"/>
          <w:szCs w:val="28"/>
          <w:lang w:eastAsia="uk-UA"/>
        </w:rPr>
        <w:t>тя</w:t>
      </w:r>
      <w:r w:rsidRPr="00C95026">
        <w:rPr>
          <w:sz w:val="28"/>
          <w:szCs w:val="28"/>
          <w:lang w:eastAsia="uk-UA"/>
        </w:rPr>
        <w:t xml:space="preserve">жкі хворі на </w:t>
      </w:r>
      <w:r>
        <w:rPr>
          <w:sz w:val="28"/>
          <w:szCs w:val="28"/>
          <w:lang w:eastAsia="uk-UA"/>
        </w:rPr>
        <w:t>ТБ</w:t>
      </w:r>
      <w:r w:rsidRPr="00C95026">
        <w:rPr>
          <w:sz w:val="28"/>
          <w:szCs w:val="28"/>
          <w:lang w:eastAsia="uk-UA"/>
        </w:rPr>
        <w:t xml:space="preserve">» із застосуванням парентеральних форм протитуберкульозних препаратів, особливо на ранніх етапах лікування (протягом інтенсивної фази, </w:t>
      </w:r>
      <w:r>
        <w:rPr>
          <w:sz w:val="28"/>
          <w:szCs w:val="28"/>
          <w:lang w:eastAsia="uk-UA"/>
        </w:rPr>
        <w:t>що</w:t>
      </w:r>
      <w:r w:rsidRPr="00C95026">
        <w:rPr>
          <w:sz w:val="28"/>
          <w:szCs w:val="28"/>
          <w:lang w:eastAsia="uk-UA"/>
        </w:rPr>
        <w:t xml:space="preserve"> є найкритичн</w:t>
      </w:r>
      <w:r>
        <w:rPr>
          <w:sz w:val="28"/>
          <w:szCs w:val="28"/>
          <w:lang w:eastAsia="uk-UA"/>
        </w:rPr>
        <w:t>іш</w:t>
      </w:r>
      <w:r w:rsidRPr="00C95026">
        <w:rPr>
          <w:sz w:val="28"/>
          <w:szCs w:val="28"/>
          <w:lang w:eastAsia="uk-UA"/>
        </w:rPr>
        <w:t>им періодом)</w:t>
      </w:r>
      <w:r>
        <w:rPr>
          <w:sz w:val="28"/>
          <w:szCs w:val="28"/>
          <w:lang w:eastAsia="uk-UA"/>
        </w:rPr>
        <w:t>,</w:t>
      </w:r>
      <w:r w:rsidRPr="00C95026">
        <w:rPr>
          <w:sz w:val="28"/>
          <w:szCs w:val="28"/>
          <w:lang w:eastAsia="uk-UA"/>
        </w:rPr>
        <w:t xml:space="preserve"> сприяє зниженню несприятливого прогнозу перебігу основного захворювання.</w:t>
      </w:r>
    </w:p>
    <w:p w:rsidR="005F680F" w:rsidRPr="00C95026" w:rsidRDefault="005F680F" w:rsidP="005F680F">
      <w:pPr>
        <w:spacing w:after="120" w:line="276" w:lineRule="auto"/>
        <w:ind w:firstLine="709"/>
        <w:jc w:val="both"/>
        <w:rPr>
          <w:sz w:val="28"/>
          <w:szCs w:val="28"/>
          <w:lang w:eastAsia="uk-UA"/>
        </w:rPr>
      </w:pPr>
      <w:r w:rsidRPr="00C95026">
        <w:rPr>
          <w:b/>
          <w:sz w:val="28"/>
          <w:szCs w:val="28"/>
          <w:lang w:eastAsia="uk-UA"/>
        </w:rPr>
        <w:t>Ключові слова:</w:t>
      </w:r>
      <w:r w:rsidRPr="00C95026">
        <w:rPr>
          <w:sz w:val="28"/>
          <w:szCs w:val="28"/>
          <w:lang w:eastAsia="uk-UA"/>
        </w:rPr>
        <w:t xml:space="preserve"> туберкульоз, діабет, резистентність, ін’єкційні форми.</w:t>
      </w:r>
    </w:p>
    <w:p w:rsidR="005F680F" w:rsidRPr="002F71FF" w:rsidRDefault="005F680F" w:rsidP="005F680F">
      <w:pPr>
        <w:ind w:firstLine="0"/>
        <w:rPr>
          <w:i/>
          <w:sz w:val="28"/>
          <w:szCs w:val="28"/>
        </w:rPr>
      </w:pPr>
      <w:r w:rsidRPr="002F71FF">
        <w:rPr>
          <w:i/>
          <w:sz w:val="28"/>
          <w:szCs w:val="28"/>
        </w:rPr>
        <w:lastRenderedPageBreak/>
        <w:t>* Тези Конгресу з інфузійної терапії опубліковані в журналі «</w:t>
      </w:r>
      <w:hyperlink r:id="rId4" w:history="1">
        <w:r w:rsidRPr="002F71FF">
          <w:rPr>
            <w:rStyle w:val="a6"/>
            <w:i/>
            <w:sz w:val="28"/>
            <w:szCs w:val="28"/>
          </w:rPr>
          <w:t>Інфузія &amp; Хіміотерапія</w:t>
        </w:r>
      </w:hyperlink>
      <w:r w:rsidRPr="002F71FF">
        <w:rPr>
          <w:i/>
          <w:sz w:val="28"/>
          <w:szCs w:val="28"/>
        </w:rPr>
        <w:t>».</w:t>
      </w:r>
    </w:p>
    <w:p w:rsidR="005F680F" w:rsidRPr="00817A6B" w:rsidRDefault="005F680F" w:rsidP="005F680F">
      <w:pPr>
        <w:spacing w:after="120" w:line="276" w:lineRule="auto"/>
        <w:ind w:firstLine="0"/>
        <w:jc w:val="both"/>
        <w:rPr>
          <w:sz w:val="28"/>
          <w:szCs w:val="28"/>
        </w:rPr>
      </w:pPr>
    </w:p>
    <w:p w:rsidR="005F680F" w:rsidRPr="00E86C25" w:rsidRDefault="005F680F" w:rsidP="005F680F">
      <w:pPr>
        <w:spacing w:after="120" w:line="276" w:lineRule="auto"/>
        <w:ind w:firstLine="0"/>
        <w:jc w:val="both"/>
        <w:rPr>
          <w:b/>
          <w:sz w:val="32"/>
          <w:szCs w:val="28"/>
          <w:lang w:val="en-US"/>
        </w:rPr>
      </w:pPr>
      <w:r w:rsidRPr="00E86C25">
        <w:rPr>
          <w:b/>
          <w:sz w:val="32"/>
          <w:szCs w:val="28"/>
          <w:lang w:val="en-US"/>
        </w:rPr>
        <w:t>Applications of infusion therapy in the difficult form of tuberculosis</w:t>
      </w:r>
    </w:p>
    <w:p w:rsidR="005F680F" w:rsidRPr="00E86C25" w:rsidRDefault="005F680F" w:rsidP="005F680F">
      <w:pPr>
        <w:spacing w:after="120" w:line="276" w:lineRule="auto"/>
        <w:ind w:firstLine="0"/>
        <w:jc w:val="both"/>
        <w:rPr>
          <w:b/>
          <w:spacing w:val="-4"/>
          <w:sz w:val="26"/>
          <w:szCs w:val="26"/>
          <w:lang w:val="en-US"/>
        </w:rPr>
      </w:pPr>
      <w:r w:rsidRPr="00E86C25">
        <w:rPr>
          <w:b/>
          <w:spacing w:val="-4"/>
          <w:sz w:val="26"/>
          <w:szCs w:val="26"/>
          <w:lang w:val="en-US"/>
        </w:rPr>
        <w:t>Todoriko L.D.</w:t>
      </w:r>
      <w:r w:rsidRPr="00E86C25">
        <w:rPr>
          <w:b/>
          <w:spacing w:val="-4"/>
          <w:sz w:val="26"/>
          <w:szCs w:val="26"/>
          <w:vertAlign w:val="superscript"/>
          <w:lang w:val="en-US"/>
        </w:rPr>
        <w:t>1</w:t>
      </w:r>
      <w:r w:rsidRPr="00E86C25">
        <w:rPr>
          <w:b/>
          <w:spacing w:val="-4"/>
          <w:sz w:val="26"/>
          <w:szCs w:val="26"/>
          <w:lang w:val="en-US"/>
        </w:rPr>
        <w:t>, Pidverbetska О.V.</w:t>
      </w:r>
      <w:r w:rsidRPr="00E86C25">
        <w:rPr>
          <w:b/>
          <w:spacing w:val="-4"/>
          <w:sz w:val="26"/>
          <w:szCs w:val="26"/>
          <w:vertAlign w:val="superscript"/>
          <w:lang w:val="en-US"/>
        </w:rPr>
        <w:t>1</w:t>
      </w:r>
      <w:r w:rsidRPr="00E86C25">
        <w:rPr>
          <w:b/>
          <w:spacing w:val="-4"/>
          <w:sz w:val="26"/>
          <w:szCs w:val="26"/>
          <w:lang w:val="en-US"/>
        </w:rPr>
        <w:t>, Semianiv І.О.</w:t>
      </w:r>
      <w:r w:rsidRPr="00E86C25">
        <w:rPr>
          <w:b/>
          <w:spacing w:val="-4"/>
          <w:sz w:val="26"/>
          <w:szCs w:val="26"/>
          <w:vertAlign w:val="superscript"/>
          <w:lang w:val="en-US"/>
        </w:rPr>
        <w:t>1</w:t>
      </w:r>
      <w:r w:rsidRPr="00E86C25">
        <w:rPr>
          <w:b/>
          <w:spacing w:val="-4"/>
          <w:sz w:val="26"/>
          <w:szCs w:val="26"/>
          <w:lang w:val="en-US"/>
        </w:rPr>
        <w:t>, Yeremenchuk І.V.</w:t>
      </w:r>
      <w:r w:rsidRPr="00E86C25">
        <w:rPr>
          <w:b/>
          <w:spacing w:val="-4"/>
          <w:sz w:val="26"/>
          <w:szCs w:val="26"/>
          <w:vertAlign w:val="superscript"/>
          <w:lang w:val="en-US"/>
        </w:rPr>
        <w:t>1</w:t>
      </w:r>
      <w:r w:rsidRPr="00E86C25">
        <w:rPr>
          <w:b/>
          <w:spacing w:val="-4"/>
          <w:sz w:val="26"/>
          <w:szCs w:val="26"/>
          <w:lang w:val="en-US"/>
        </w:rPr>
        <w:t>, Kuzhko М.М.</w:t>
      </w:r>
      <w:r w:rsidRPr="00E86C25">
        <w:rPr>
          <w:b/>
          <w:spacing w:val="-4"/>
          <w:sz w:val="26"/>
          <w:szCs w:val="26"/>
          <w:vertAlign w:val="superscript"/>
          <w:lang w:val="en-US"/>
        </w:rPr>
        <w:t>2</w:t>
      </w:r>
    </w:p>
    <w:p w:rsidR="005F680F" w:rsidRPr="00E86C25" w:rsidRDefault="005F680F" w:rsidP="005F680F">
      <w:pPr>
        <w:shd w:val="clear" w:color="auto" w:fill="FFFFFF"/>
        <w:spacing w:after="120" w:line="276" w:lineRule="auto"/>
        <w:ind w:firstLine="0"/>
        <w:jc w:val="both"/>
        <w:outlineLvl w:val="1"/>
        <w:rPr>
          <w:sz w:val="26"/>
          <w:szCs w:val="26"/>
          <w:lang w:val="en-US"/>
        </w:rPr>
      </w:pPr>
      <w:r w:rsidRPr="00E86C25">
        <w:rPr>
          <w:sz w:val="26"/>
          <w:szCs w:val="26"/>
          <w:vertAlign w:val="superscript"/>
          <w:lang w:val="en-US"/>
        </w:rPr>
        <w:t>1</w:t>
      </w:r>
      <w:r w:rsidRPr="00E86C25">
        <w:rPr>
          <w:sz w:val="26"/>
          <w:szCs w:val="26"/>
          <w:lang w:val="en-US"/>
        </w:rPr>
        <w:t xml:space="preserve"> </w:t>
      </w:r>
      <w:r w:rsidRPr="00E86C25">
        <w:rPr>
          <w:kern w:val="24"/>
          <w:sz w:val="26"/>
          <w:szCs w:val="26"/>
          <w:lang w:val="en-US"/>
        </w:rPr>
        <w:t>Higher State Educational Establishment of Ukraine “Bukovinian State Medical University”</w:t>
      </w:r>
      <w:r w:rsidRPr="00E86C25">
        <w:rPr>
          <w:sz w:val="26"/>
          <w:szCs w:val="26"/>
          <w:lang w:val="en-US"/>
        </w:rPr>
        <w:t>, Chernivtsi, Ukraine</w:t>
      </w:r>
    </w:p>
    <w:p w:rsidR="005F680F" w:rsidRPr="00E86C25" w:rsidRDefault="005F680F" w:rsidP="005F680F">
      <w:pPr>
        <w:spacing w:after="120" w:line="276" w:lineRule="auto"/>
        <w:ind w:firstLine="0"/>
        <w:jc w:val="both"/>
        <w:rPr>
          <w:color w:val="000000"/>
          <w:sz w:val="26"/>
          <w:szCs w:val="26"/>
          <w:lang w:val="en-US"/>
        </w:rPr>
      </w:pPr>
      <w:r w:rsidRPr="00E86C25">
        <w:rPr>
          <w:sz w:val="26"/>
          <w:szCs w:val="26"/>
          <w:vertAlign w:val="superscript"/>
          <w:lang w:val="en-US"/>
        </w:rPr>
        <w:t>2</w:t>
      </w:r>
      <w:r w:rsidRPr="00E86C25">
        <w:rPr>
          <w:sz w:val="26"/>
          <w:szCs w:val="26"/>
          <w:lang w:val="en-US"/>
        </w:rPr>
        <w:t xml:space="preserve"> Yanovsky </w:t>
      </w:r>
      <w:r w:rsidRPr="00E86C25">
        <w:rPr>
          <w:color w:val="000000"/>
          <w:sz w:val="26"/>
          <w:szCs w:val="26"/>
          <w:lang w:val="en-US"/>
        </w:rPr>
        <w:t>National Institute of Phthisiology and Pulmonology of the National Academy of Medical Sciences of Ukraine, Kyiv, Ukraine</w:t>
      </w:r>
    </w:p>
    <w:p w:rsidR="005F680F" w:rsidRPr="00817A6B" w:rsidRDefault="005F680F" w:rsidP="005F680F">
      <w:pPr>
        <w:spacing w:after="120" w:line="276" w:lineRule="auto"/>
        <w:ind w:firstLine="709"/>
        <w:jc w:val="both"/>
        <w:rPr>
          <w:sz w:val="28"/>
          <w:szCs w:val="28"/>
          <w:lang w:val="en-US"/>
        </w:rPr>
      </w:pPr>
      <w:r>
        <w:rPr>
          <w:b/>
          <w:sz w:val="28"/>
          <w:szCs w:val="28"/>
          <w:lang w:val="en-US"/>
        </w:rPr>
        <w:t>Objective</w:t>
      </w:r>
      <w:r w:rsidRPr="00817A6B">
        <w:rPr>
          <w:b/>
          <w:sz w:val="28"/>
          <w:szCs w:val="28"/>
          <w:lang w:val="en-US"/>
        </w:rPr>
        <w:t>.</w:t>
      </w:r>
      <w:r w:rsidRPr="00817A6B">
        <w:rPr>
          <w:sz w:val="28"/>
          <w:szCs w:val="28"/>
          <w:lang w:val="en-US"/>
        </w:rPr>
        <w:t xml:space="preserve"> Analysis of the prevalence of the difficult cases of tuberculosis </w:t>
      </w:r>
      <w:r>
        <w:rPr>
          <w:sz w:val="28"/>
          <w:szCs w:val="28"/>
          <w:lang w:val="en-US"/>
        </w:rPr>
        <w:t xml:space="preserve">(TB) </w:t>
      </w:r>
      <w:r w:rsidRPr="00817A6B">
        <w:rPr>
          <w:sz w:val="28"/>
          <w:szCs w:val="28"/>
          <w:lang w:val="en-US"/>
        </w:rPr>
        <w:t>and assessment of the effectiveness of the treatment when using infusion anti-</w:t>
      </w:r>
      <w:r>
        <w:rPr>
          <w:sz w:val="28"/>
          <w:szCs w:val="28"/>
          <w:lang w:val="en-US"/>
        </w:rPr>
        <w:t>TB</w:t>
      </w:r>
      <w:r w:rsidRPr="00817A6B">
        <w:rPr>
          <w:sz w:val="28"/>
          <w:szCs w:val="28"/>
          <w:lang w:val="en-US"/>
        </w:rPr>
        <w:t xml:space="preserve"> drugs in standard regimens.</w:t>
      </w:r>
    </w:p>
    <w:p w:rsidR="005F680F" w:rsidRPr="00817A6B" w:rsidRDefault="005F680F" w:rsidP="005F680F">
      <w:pPr>
        <w:spacing w:after="120" w:line="276" w:lineRule="auto"/>
        <w:ind w:firstLine="709"/>
        <w:jc w:val="both"/>
        <w:rPr>
          <w:sz w:val="28"/>
          <w:szCs w:val="28"/>
          <w:lang w:val="en-US"/>
        </w:rPr>
      </w:pPr>
      <w:r w:rsidRPr="00817A6B">
        <w:rPr>
          <w:b/>
          <w:sz w:val="28"/>
          <w:szCs w:val="28"/>
          <w:lang w:val="en-US"/>
        </w:rPr>
        <w:t>Material</w:t>
      </w:r>
      <w:r>
        <w:rPr>
          <w:b/>
          <w:sz w:val="28"/>
          <w:szCs w:val="28"/>
          <w:lang w:val="en-US"/>
        </w:rPr>
        <w:t>s</w:t>
      </w:r>
      <w:r w:rsidRPr="00817A6B">
        <w:rPr>
          <w:b/>
          <w:sz w:val="28"/>
          <w:szCs w:val="28"/>
          <w:lang w:val="en-US"/>
        </w:rPr>
        <w:t xml:space="preserve"> and methods</w:t>
      </w:r>
      <w:r w:rsidRPr="00D02159">
        <w:rPr>
          <w:b/>
          <w:sz w:val="28"/>
          <w:szCs w:val="28"/>
          <w:lang w:val="en-US"/>
        </w:rPr>
        <w:t>.</w:t>
      </w:r>
      <w:r w:rsidRPr="00817A6B">
        <w:rPr>
          <w:sz w:val="28"/>
          <w:szCs w:val="28"/>
          <w:lang w:val="en-US"/>
        </w:rPr>
        <w:t xml:space="preserve"> A retrospective analysis was carried out for 2017-2019 of the electronic database the register of patients and the inpatient case history KU </w:t>
      </w:r>
      <w:r>
        <w:rPr>
          <w:sz w:val="28"/>
          <w:szCs w:val="28"/>
          <w:lang w:val="en-US"/>
        </w:rPr>
        <w:t>“</w:t>
      </w:r>
      <w:r w:rsidRPr="00817A6B">
        <w:rPr>
          <w:sz w:val="28"/>
          <w:szCs w:val="28"/>
          <w:lang w:val="en-US"/>
        </w:rPr>
        <w:t>Chernivtsi Regional Clinical TB Dispensary</w:t>
      </w:r>
      <w:r>
        <w:rPr>
          <w:sz w:val="28"/>
          <w:szCs w:val="28"/>
          <w:lang w:val="en-US"/>
        </w:rPr>
        <w:t>”</w:t>
      </w:r>
      <w:r w:rsidRPr="00817A6B">
        <w:rPr>
          <w:sz w:val="28"/>
          <w:szCs w:val="28"/>
          <w:lang w:val="en-US"/>
        </w:rPr>
        <w:t>.</w:t>
      </w:r>
    </w:p>
    <w:p w:rsidR="005F680F" w:rsidRPr="00817A6B" w:rsidRDefault="005F680F" w:rsidP="005F680F">
      <w:pPr>
        <w:spacing w:after="120" w:line="276" w:lineRule="auto"/>
        <w:ind w:firstLine="709"/>
        <w:jc w:val="both"/>
        <w:rPr>
          <w:sz w:val="28"/>
          <w:szCs w:val="28"/>
          <w:lang w:val="en-US" w:eastAsia="uk-UA"/>
        </w:rPr>
      </w:pPr>
      <w:r w:rsidRPr="00817A6B">
        <w:rPr>
          <w:b/>
          <w:sz w:val="28"/>
          <w:szCs w:val="28"/>
          <w:lang w:val="en-US"/>
        </w:rPr>
        <w:t>Results and discussion</w:t>
      </w:r>
      <w:r w:rsidRPr="00D02159">
        <w:rPr>
          <w:b/>
          <w:sz w:val="28"/>
          <w:szCs w:val="28"/>
          <w:lang w:val="en-US"/>
        </w:rPr>
        <w:t>.</w:t>
      </w:r>
      <w:r w:rsidRPr="00817A6B">
        <w:rPr>
          <w:sz w:val="28"/>
          <w:szCs w:val="28"/>
          <w:lang w:val="en-US"/>
        </w:rPr>
        <w:t xml:space="preserve"> </w:t>
      </w:r>
      <w:r w:rsidRPr="00817A6B">
        <w:rPr>
          <w:bCs/>
          <w:sz w:val="28"/>
          <w:szCs w:val="28"/>
          <w:lang w:val="en-US"/>
        </w:rPr>
        <w:t>From 16 to 46</w:t>
      </w:r>
      <w:r>
        <w:rPr>
          <w:bCs/>
          <w:sz w:val="28"/>
          <w:szCs w:val="28"/>
          <w:lang w:val="en-US"/>
        </w:rPr>
        <w:t> </w:t>
      </w:r>
      <w:r w:rsidRPr="00817A6B">
        <w:rPr>
          <w:bCs/>
          <w:sz w:val="28"/>
          <w:szCs w:val="28"/>
          <w:lang w:val="en-US"/>
        </w:rPr>
        <w:t xml:space="preserve">% of patients with </w:t>
      </w:r>
      <w:r>
        <w:rPr>
          <w:bCs/>
          <w:sz w:val="28"/>
          <w:szCs w:val="28"/>
          <w:lang w:val="en-US"/>
        </w:rPr>
        <w:t>TB</w:t>
      </w:r>
      <w:r w:rsidRPr="00817A6B">
        <w:rPr>
          <w:bCs/>
          <w:sz w:val="28"/>
          <w:szCs w:val="28"/>
          <w:lang w:val="en-US"/>
        </w:rPr>
        <w:t xml:space="preserve"> infection have concomitant signs of diabetes mellitus. In 58.9</w:t>
      </w:r>
      <w:r>
        <w:rPr>
          <w:bCs/>
          <w:sz w:val="28"/>
          <w:szCs w:val="28"/>
          <w:lang w:val="en-US"/>
        </w:rPr>
        <w:t> </w:t>
      </w:r>
      <w:r w:rsidRPr="00817A6B">
        <w:rPr>
          <w:bCs/>
          <w:sz w:val="28"/>
          <w:szCs w:val="28"/>
          <w:lang w:val="en-US"/>
        </w:rPr>
        <w:t>% of patients with sensitive TB, the absorption capacity of the small intestine significantly decreases with a predominant decrease in the intestinal permeability index from 3.1 to 6 (in 21.9</w:t>
      </w:r>
      <w:r>
        <w:rPr>
          <w:bCs/>
          <w:sz w:val="28"/>
          <w:szCs w:val="28"/>
          <w:lang w:val="en-US"/>
        </w:rPr>
        <w:t> </w:t>
      </w:r>
      <w:r w:rsidRPr="00817A6B">
        <w:rPr>
          <w:bCs/>
          <w:sz w:val="28"/>
          <w:szCs w:val="28"/>
          <w:lang w:val="en-US"/>
        </w:rPr>
        <w:t>% of cases).</w:t>
      </w:r>
      <w:r w:rsidRPr="00817A6B">
        <w:rPr>
          <w:sz w:val="28"/>
          <w:szCs w:val="28"/>
          <w:lang w:val="en-US"/>
        </w:rPr>
        <w:t xml:space="preserve"> At </w:t>
      </w:r>
      <w:r>
        <w:rPr>
          <w:sz w:val="28"/>
          <w:szCs w:val="28"/>
          <w:lang w:val="en-US"/>
        </w:rPr>
        <w:t>multiple-drug resistance</w:t>
      </w:r>
      <w:r w:rsidRPr="00817A6B">
        <w:rPr>
          <w:sz w:val="28"/>
          <w:szCs w:val="28"/>
          <w:lang w:val="en-US"/>
        </w:rPr>
        <w:t xml:space="preserve"> TB decrease the absorptive function of intestines is observed in 76,1</w:t>
      </w:r>
      <w:r>
        <w:rPr>
          <w:sz w:val="28"/>
          <w:szCs w:val="28"/>
          <w:lang w:val="en-US"/>
        </w:rPr>
        <w:t> </w:t>
      </w:r>
      <w:r w:rsidRPr="00817A6B">
        <w:rPr>
          <w:sz w:val="28"/>
          <w:szCs w:val="28"/>
          <w:lang w:val="en-US"/>
        </w:rPr>
        <w:t>% of cases with the prevalence of severe degree of disturbance (in 42,3</w:t>
      </w:r>
      <w:r>
        <w:rPr>
          <w:sz w:val="28"/>
          <w:szCs w:val="28"/>
          <w:lang w:val="en-US"/>
        </w:rPr>
        <w:t> </w:t>
      </w:r>
      <w:r w:rsidRPr="00817A6B">
        <w:rPr>
          <w:sz w:val="28"/>
          <w:szCs w:val="28"/>
          <w:lang w:val="en-US"/>
        </w:rPr>
        <w:t xml:space="preserve">% of patients). </w:t>
      </w:r>
      <w:r w:rsidRPr="00817A6B">
        <w:rPr>
          <w:color w:val="0E101A"/>
          <w:sz w:val="28"/>
          <w:szCs w:val="28"/>
          <w:lang w:val="en-US"/>
        </w:rPr>
        <w:t>The proportion of severe forms of sensitive TB is more than 42</w:t>
      </w:r>
      <w:r>
        <w:rPr>
          <w:color w:val="0E101A"/>
          <w:sz w:val="28"/>
          <w:szCs w:val="28"/>
          <w:lang w:val="en-US"/>
        </w:rPr>
        <w:t> </w:t>
      </w:r>
      <w:r w:rsidRPr="00817A6B">
        <w:rPr>
          <w:color w:val="0E101A"/>
          <w:sz w:val="28"/>
          <w:szCs w:val="28"/>
          <w:lang w:val="en-US"/>
        </w:rPr>
        <w:t>%</w:t>
      </w:r>
      <w:r>
        <w:rPr>
          <w:color w:val="0E101A"/>
          <w:sz w:val="28"/>
          <w:szCs w:val="28"/>
          <w:lang w:val="en-US"/>
        </w:rPr>
        <w:t xml:space="preserve"> of cases</w:t>
      </w:r>
      <w:r w:rsidRPr="00817A6B">
        <w:rPr>
          <w:color w:val="0E101A"/>
          <w:sz w:val="28"/>
          <w:szCs w:val="28"/>
          <w:lang w:val="en-US"/>
        </w:rPr>
        <w:t>, of which 69.6±1.6</w:t>
      </w:r>
      <w:r>
        <w:rPr>
          <w:color w:val="0E101A"/>
          <w:sz w:val="28"/>
          <w:szCs w:val="28"/>
          <w:lang w:val="en-US"/>
        </w:rPr>
        <w:t> </w:t>
      </w:r>
      <w:r w:rsidRPr="00817A6B">
        <w:rPr>
          <w:color w:val="0E101A"/>
          <w:sz w:val="28"/>
          <w:szCs w:val="28"/>
          <w:lang w:val="en-US"/>
        </w:rPr>
        <w:t>% were diagnosed with destruction.</w:t>
      </w:r>
      <w:r w:rsidRPr="00817A6B">
        <w:rPr>
          <w:sz w:val="28"/>
          <w:szCs w:val="28"/>
          <w:lang w:val="en-US" w:eastAsia="uk-UA"/>
        </w:rPr>
        <w:t xml:space="preserve"> The share of common forms of TB among all cases of drug-resistant TB (DRTB) treated in 4</w:t>
      </w:r>
      <w:r>
        <w:rPr>
          <w:sz w:val="28"/>
          <w:szCs w:val="28"/>
          <w:lang w:val="en-US" w:eastAsia="uk-UA"/>
        </w:rPr>
        <w:t>th</w:t>
      </w:r>
      <w:r w:rsidRPr="00817A6B">
        <w:rPr>
          <w:sz w:val="28"/>
          <w:szCs w:val="28"/>
          <w:lang w:val="en-US" w:eastAsia="uk-UA"/>
        </w:rPr>
        <w:t xml:space="preserve"> categories is 47</w:t>
      </w:r>
      <w:r>
        <w:rPr>
          <w:sz w:val="28"/>
          <w:szCs w:val="28"/>
          <w:lang w:val="en-US" w:eastAsia="uk-UA"/>
        </w:rPr>
        <w:t> </w:t>
      </w:r>
      <w:r w:rsidRPr="00817A6B">
        <w:rPr>
          <w:sz w:val="28"/>
          <w:szCs w:val="28"/>
          <w:lang w:val="en-US" w:eastAsia="uk-UA"/>
        </w:rPr>
        <w:t xml:space="preserve">%, of which with destructive forms </w:t>
      </w:r>
      <w:r>
        <w:rPr>
          <w:sz w:val="28"/>
          <w:szCs w:val="28"/>
          <w:lang w:val="en-US" w:eastAsia="uk-UA"/>
        </w:rPr>
        <w:t>–</w:t>
      </w:r>
      <w:r w:rsidRPr="00817A6B">
        <w:rPr>
          <w:sz w:val="28"/>
          <w:szCs w:val="28"/>
          <w:lang w:val="en-US" w:eastAsia="uk-UA"/>
        </w:rPr>
        <w:t xml:space="preserve"> 78.5±3.6</w:t>
      </w:r>
      <w:r>
        <w:rPr>
          <w:sz w:val="28"/>
          <w:szCs w:val="28"/>
          <w:lang w:val="en-US" w:eastAsia="uk-UA"/>
        </w:rPr>
        <w:t> </w:t>
      </w:r>
      <w:r w:rsidRPr="00817A6B">
        <w:rPr>
          <w:sz w:val="28"/>
          <w:szCs w:val="28"/>
          <w:lang w:val="en-US" w:eastAsia="uk-UA"/>
        </w:rPr>
        <w:t>%. The frequency of adverse reactions increases in severe forms of DRTB and amounts to 38</w:t>
      </w:r>
      <w:r>
        <w:rPr>
          <w:sz w:val="28"/>
          <w:szCs w:val="28"/>
          <w:lang w:val="en-US" w:eastAsia="uk-UA"/>
        </w:rPr>
        <w:t> </w:t>
      </w:r>
      <w:r w:rsidRPr="00817A6B">
        <w:rPr>
          <w:sz w:val="28"/>
          <w:szCs w:val="28"/>
          <w:lang w:val="en-US" w:eastAsia="uk-UA"/>
        </w:rPr>
        <w:t>% of all analyzed cases.</w:t>
      </w:r>
    </w:p>
    <w:p w:rsidR="005F680F" w:rsidRPr="00F12273" w:rsidRDefault="005F680F" w:rsidP="005F680F">
      <w:pPr>
        <w:spacing w:after="120" w:line="276" w:lineRule="auto"/>
        <w:ind w:firstLine="709"/>
        <w:jc w:val="both"/>
        <w:rPr>
          <w:spacing w:val="4"/>
          <w:sz w:val="28"/>
          <w:szCs w:val="28"/>
          <w:lang w:val="en-US" w:eastAsia="uk-UA"/>
        </w:rPr>
      </w:pPr>
      <w:r w:rsidRPr="00F12273">
        <w:rPr>
          <w:b/>
          <w:spacing w:val="4"/>
          <w:sz w:val="28"/>
          <w:szCs w:val="28"/>
          <w:lang w:val="en-US"/>
        </w:rPr>
        <w:t>Conclusions.</w:t>
      </w:r>
      <w:r w:rsidRPr="00F12273">
        <w:rPr>
          <w:spacing w:val="4"/>
          <w:sz w:val="28"/>
          <w:szCs w:val="28"/>
          <w:lang w:val="en-US" w:eastAsia="uk-UA"/>
        </w:rPr>
        <w:t xml:space="preserve"> Early detection of patients with severe forms of TB, especially in the presence of concomitant pathology, and their allocation into a separate category of “severe patients with TB” using parenteral forms of anti-TB drugs, especially in the early stages of treatment (during the intensive phase, which is the most critical period), it facilitates to reduce the unfavorable prognosis of the course of the underlying disease.</w:t>
      </w:r>
    </w:p>
    <w:p w:rsidR="005F680F" w:rsidRPr="00817A6B" w:rsidRDefault="005F680F" w:rsidP="005F680F">
      <w:pPr>
        <w:spacing w:after="120" w:line="276" w:lineRule="auto"/>
        <w:ind w:firstLine="709"/>
        <w:jc w:val="both"/>
        <w:rPr>
          <w:kern w:val="24"/>
          <w:sz w:val="28"/>
          <w:szCs w:val="28"/>
          <w:highlight w:val="yellow"/>
          <w:lang w:val="en-US"/>
        </w:rPr>
      </w:pPr>
      <w:r w:rsidRPr="00817A6B">
        <w:rPr>
          <w:b/>
          <w:sz w:val="28"/>
          <w:szCs w:val="28"/>
          <w:lang w:val="en-US"/>
        </w:rPr>
        <w:t>Key</w:t>
      </w:r>
      <w:r>
        <w:rPr>
          <w:b/>
          <w:sz w:val="28"/>
          <w:szCs w:val="28"/>
          <w:lang w:val="en-US"/>
        </w:rPr>
        <w:t xml:space="preserve"> </w:t>
      </w:r>
      <w:r w:rsidRPr="00817A6B">
        <w:rPr>
          <w:b/>
          <w:sz w:val="28"/>
          <w:szCs w:val="28"/>
          <w:lang w:val="en-US"/>
        </w:rPr>
        <w:t>words:</w:t>
      </w:r>
      <w:r w:rsidRPr="00817A6B">
        <w:rPr>
          <w:sz w:val="28"/>
          <w:szCs w:val="28"/>
          <w:lang w:val="en-US"/>
        </w:rPr>
        <w:t xml:space="preserve"> tuberculosis, diabetes, resistance, injectable forms.</w:t>
      </w:r>
    </w:p>
    <w:p w:rsidR="00E75AA7" w:rsidRPr="005F680F" w:rsidRDefault="005F680F" w:rsidP="005F680F">
      <w:pPr>
        <w:spacing w:after="120" w:line="276" w:lineRule="auto"/>
        <w:ind w:firstLine="0"/>
        <w:jc w:val="both"/>
        <w:rPr>
          <w:sz w:val="28"/>
          <w:szCs w:val="28"/>
          <w:lang w:val="en-US"/>
        </w:rPr>
      </w:pPr>
      <w:r w:rsidRPr="002F71FF">
        <w:rPr>
          <w:i/>
          <w:color w:val="000000"/>
          <w:sz w:val="28"/>
          <w:szCs w:val="28"/>
          <w:lang w:val="en-US"/>
        </w:rPr>
        <w:lastRenderedPageBreak/>
        <w:t>* The theses of the Congress on Infusion Therapy are published in the "</w:t>
      </w:r>
      <w:hyperlink r:id="rId5" w:history="1">
        <w:r w:rsidRPr="002F71FF">
          <w:rPr>
            <w:rStyle w:val="a6"/>
            <w:i/>
            <w:sz w:val="28"/>
            <w:szCs w:val="28"/>
            <w:lang w:val="en-US"/>
          </w:rPr>
          <w:t>Infusion &amp; Chemotherapy</w:t>
        </w:r>
      </w:hyperlink>
      <w:r w:rsidRPr="002F71FF">
        <w:rPr>
          <w:i/>
          <w:color w:val="000000"/>
          <w:sz w:val="28"/>
          <w:szCs w:val="28"/>
          <w:lang w:val="en-US"/>
        </w:rPr>
        <w:t>" journal.</w:t>
      </w:r>
    </w:p>
    <w:sectPr w:rsidR="00E75AA7" w:rsidRPr="005F680F" w:rsidSect="00817A6B">
      <w:headerReference w:type="even" r:id="rId6"/>
      <w:pgSz w:w="12240" w:h="15840"/>
      <w:pgMar w:top="1134" w:right="850" w:bottom="1134" w:left="1701" w:header="0" w:footer="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3098" w:rsidRDefault="005F680F">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102</w:t>
    </w:r>
    <w:r>
      <w:rPr>
        <w:rStyle w:val="a5"/>
      </w:rPr>
      <w:fldChar w:fldCharType="end"/>
    </w:r>
  </w:p>
  <w:p w:rsidR="00EF3098" w:rsidRDefault="005F680F">
    <w:pPr>
      <w:pStyle w:val="a3"/>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80F"/>
    <w:rsid w:val="001B1407"/>
    <w:rsid w:val="003A11FD"/>
    <w:rsid w:val="005F680F"/>
    <w:rsid w:val="008A164B"/>
    <w:rsid w:val="00B32924"/>
    <w:rsid w:val="00E07F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B9DD04-DF8A-44CB-9FA7-A0B3177F5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680F"/>
    <w:pPr>
      <w:spacing w:line="300" w:lineRule="auto"/>
      <w:ind w:firstLine="3000"/>
    </w:pPr>
    <w:rPr>
      <w:rFonts w:ascii="Times New Roman" w:eastAsia="Times New Roman" w:hAnsi="Times New Roman" w:cs="Times New Roman"/>
      <w:sz w:val="24"/>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F680F"/>
    <w:pPr>
      <w:tabs>
        <w:tab w:val="center" w:pos="4153"/>
        <w:tab w:val="right" w:pos="8306"/>
      </w:tabs>
      <w:spacing w:line="240" w:lineRule="auto"/>
      <w:ind w:firstLine="0"/>
    </w:pPr>
    <w:rPr>
      <w:sz w:val="20"/>
    </w:rPr>
  </w:style>
  <w:style w:type="character" w:customStyle="1" w:styleId="a4">
    <w:name w:val="Верхний колонтитул Знак"/>
    <w:basedOn w:val="a0"/>
    <w:link w:val="a3"/>
    <w:uiPriority w:val="99"/>
    <w:rsid w:val="005F680F"/>
    <w:rPr>
      <w:rFonts w:ascii="Times New Roman" w:eastAsia="Times New Roman" w:hAnsi="Times New Roman" w:cs="Times New Roman"/>
      <w:sz w:val="20"/>
      <w:szCs w:val="20"/>
      <w:lang w:val="uk-UA" w:eastAsia="ru-RU"/>
    </w:rPr>
  </w:style>
  <w:style w:type="character" w:styleId="a5">
    <w:name w:val="page number"/>
    <w:uiPriority w:val="99"/>
    <w:rsid w:val="005F680F"/>
    <w:rPr>
      <w:rFonts w:cs="Times New Roman"/>
    </w:rPr>
  </w:style>
  <w:style w:type="character" w:styleId="a6">
    <w:name w:val="Hyperlink"/>
    <w:uiPriority w:val="99"/>
    <w:rsid w:val="005F680F"/>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hyperlink" Target="https://infusiontherapy.org/en/news/tezisy-kongressa-po-infuzionnoy-terapii-opublikovany-v-zhurnale-infuziya-khimioterapiya--p278" TargetMode="External"/><Relationship Id="rId4" Type="http://schemas.openxmlformats.org/officeDocument/2006/relationships/hyperlink" Target="https://infusiontherapy.org/news/tezisy-kongressa-po-infuzionnoy-terapii-opublikovany-v-zhurnale-infuziya-khimioterapiya--p27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711</Words>
  <Characters>4057</Characters>
  <Application>Microsoft Office Word</Application>
  <DocSecurity>0</DocSecurity>
  <Lines>33</Lines>
  <Paragraphs>9</Paragraphs>
  <ScaleCrop>false</ScaleCrop>
  <Company>SPecialiST RePack</Company>
  <LinksUpToDate>false</LinksUpToDate>
  <CharactersWithSpaces>4759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Дибань Олексій Вікторович</dc:creator>
  <cp:keywords/>
  <dc:description/>
  <cp:lastModifiedBy>Дибань Олексій Вікторович</cp:lastModifiedBy>
  <cp:revision>1</cp:revision>
  <dcterms:created xsi:type="dcterms:W3CDTF">2020-11-09T07:38:00Z</dcterms:created>
  <dcterms:modified xsi:type="dcterms:W3CDTF">2020-11-09T07:39:00Z</dcterms:modified>
</cp:coreProperties>
</file>