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9C" w:rsidRPr="00E86C25" w:rsidRDefault="0044099C" w:rsidP="0044099C">
      <w:pPr>
        <w:spacing w:after="120" w:line="276" w:lineRule="auto"/>
        <w:ind w:firstLine="0"/>
        <w:jc w:val="both"/>
        <w:rPr>
          <w:b/>
          <w:sz w:val="32"/>
          <w:szCs w:val="28"/>
        </w:rPr>
      </w:pPr>
      <w:r w:rsidRPr="00E86C25">
        <w:rPr>
          <w:b/>
          <w:sz w:val="32"/>
          <w:szCs w:val="28"/>
        </w:rPr>
        <w:t>Бронхіальна обструкція та стійкість до гіпоксії у хворих похилого віку з ХОЗЛ</w:t>
      </w:r>
    </w:p>
    <w:p w:rsidR="0044099C" w:rsidRPr="00E86C25" w:rsidRDefault="0044099C" w:rsidP="0044099C">
      <w:pPr>
        <w:spacing w:after="120" w:line="276" w:lineRule="auto"/>
        <w:ind w:firstLine="0"/>
        <w:jc w:val="both"/>
        <w:rPr>
          <w:b/>
          <w:sz w:val="26"/>
          <w:szCs w:val="26"/>
        </w:rPr>
      </w:pPr>
      <w:proofErr w:type="spellStart"/>
      <w:r w:rsidRPr="00E86C25">
        <w:rPr>
          <w:b/>
          <w:sz w:val="26"/>
          <w:szCs w:val="26"/>
        </w:rPr>
        <w:t>Асанов</w:t>
      </w:r>
      <w:proofErr w:type="spellEnd"/>
      <w:r w:rsidRPr="00E86C25">
        <w:rPr>
          <w:b/>
          <w:sz w:val="26"/>
          <w:szCs w:val="26"/>
        </w:rPr>
        <w:t xml:space="preserve"> Е.О.</w:t>
      </w:r>
      <w:r w:rsidRPr="00E86C25">
        <w:rPr>
          <w:b/>
          <w:sz w:val="26"/>
          <w:szCs w:val="26"/>
          <w:vertAlign w:val="superscript"/>
        </w:rPr>
        <w:t>1</w:t>
      </w:r>
      <w:r w:rsidRPr="00E86C25">
        <w:rPr>
          <w:b/>
          <w:sz w:val="26"/>
          <w:szCs w:val="26"/>
        </w:rPr>
        <w:t xml:space="preserve">, </w:t>
      </w:r>
      <w:proofErr w:type="spellStart"/>
      <w:r w:rsidRPr="00E86C25">
        <w:rPr>
          <w:b/>
          <w:sz w:val="26"/>
          <w:szCs w:val="26"/>
        </w:rPr>
        <w:t>Голубова</w:t>
      </w:r>
      <w:proofErr w:type="spellEnd"/>
      <w:r w:rsidRPr="00E86C25">
        <w:rPr>
          <w:b/>
          <w:sz w:val="26"/>
          <w:szCs w:val="26"/>
        </w:rPr>
        <w:t xml:space="preserve"> Ю.І.</w:t>
      </w:r>
      <w:r w:rsidRPr="00E86C25">
        <w:rPr>
          <w:b/>
          <w:sz w:val="26"/>
          <w:szCs w:val="26"/>
          <w:vertAlign w:val="superscript"/>
        </w:rPr>
        <w:t>1</w:t>
      </w:r>
      <w:r w:rsidRPr="00E86C25">
        <w:rPr>
          <w:b/>
          <w:sz w:val="26"/>
          <w:szCs w:val="26"/>
        </w:rPr>
        <w:t>, Диба І.А.</w:t>
      </w:r>
      <w:r w:rsidRPr="00E86C25">
        <w:rPr>
          <w:b/>
          <w:sz w:val="26"/>
          <w:szCs w:val="26"/>
          <w:vertAlign w:val="superscript"/>
        </w:rPr>
        <w:t>1</w:t>
      </w:r>
      <w:r w:rsidRPr="00E86C25">
        <w:rPr>
          <w:b/>
          <w:sz w:val="26"/>
          <w:szCs w:val="26"/>
        </w:rPr>
        <w:t xml:space="preserve">, </w:t>
      </w:r>
      <w:proofErr w:type="spellStart"/>
      <w:r w:rsidRPr="00E86C25">
        <w:rPr>
          <w:b/>
          <w:sz w:val="26"/>
          <w:szCs w:val="26"/>
        </w:rPr>
        <w:t>Асанова</w:t>
      </w:r>
      <w:proofErr w:type="spellEnd"/>
      <w:r w:rsidRPr="00E86C25">
        <w:rPr>
          <w:b/>
          <w:sz w:val="26"/>
          <w:szCs w:val="26"/>
        </w:rPr>
        <w:t xml:space="preserve"> С.О.</w:t>
      </w:r>
      <w:r w:rsidRPr="00E86C25">
        <w:rPr>
          <w:b/>
          <w:sz w:val="26"/>
          <w:szCs w:val="26"/>
          <w:vertAlign w:val="superscript"/>
        </w:rPr>
        <w:t>2</w:t>
      </w:r>
      <w:r w:rsidRPr="00E86C25">
        <w:rPr>
          <w:b/>
          <w:sz w:val="26"/>
          <w:szCs w:val="26"/>
        </w:rPr>
        <w:t xml:space="preserve">, </w:t>
      </w:r>
      <w:proofErr w:type="spellStart"/>
      <w:r w:rsidRPr="00E86C25">
        <w:rPr>
          <w:b/>
          <w:sz w:val="26"/>
          <w:szCs w:val="26"/>
        </w:rPr>
        <w:t>Войнаровська</w:t>
      </w:r>
      <w:proofErr w:type="spellEnd"/>
      <w:r w:rsidRPr="00E86C25">
        <w:rPr>
          <w:b/>
          <w:sz w:val="26"/>
          <w:szCs w:val="26"/>
        </w:rPr>
        <w:t xml:space="preserve"> Г.П.</w:t>
      </w:r>
      <w:r w:rsidRPr="00E86C25">
        <w:rPr>
          <w:b/>
          <w:sz w:val="26"/>
          <w:szCs w:val="26"/>
          <w:vertAlign w:val="superscript"/>
        </w:rPr>
        <w:t>1</w:t>
      </w:r>
    </w:p>
    <w:p w:rsidR="0044099C" w:rsidRPr="00E86C25" w:rsidRDefault="0044099C" w:rsidP="0044099C">
      <w:pPr>
        <w:spacing w:after="120" w:line="276" w:lineRule="auto"/>
        <w:ind w:firstLine="0"/>
        <w:jc w:val="both"/>
        <w:rPr>
          <w:sz w:val="26"/>
          <w:szCs w:val="26"/>
        </w:rPr>
      </w:pPr>
      <w:r w:rsidRPr="00E86C25">
        <w:rPr>
          <w:sz w:val="26"/>
          <w:szCs w:val="26"/>
          <w:vertAlign w:val="superscript"/>
        </w:rPr>
        <w:t>1</w:t>
      </w:r>
      <w:r w:rsidRPr="00E86C25">
        <w:rPr>
          <w:sz w:val="26"/>
          <w:szCs w:val="26"/>
        </w:rPr>
        <w:t xml:space="preserve"> ДУ «Інститут геронтології ім. Д.Ф. Чеботарьова НАМН України», м. Київ, Україна</w:t>
      </w:r>
    </w:p>
    <w:p w:rsidR="0044099C" w:rsidRPr="00E86C25" w:rsidRDefault="0044099C" w:rsidP="0044099C">
      <w:pPr>
        <w:spacing w:after="120" w:line="276" w:lineRule="auto"/>
        <w:ind w:firstLine="0"/>
        <w:jc w:val="both"/>
        <w:rPr>
          <w:rStyle w:val="tlid-translation"/>
          <w:sz w:val="26"/>
          <w:szCs w:val="26"/>
        </w:rPr>
      </w:pPr>
      <w:r w:rsidRPr="00E86C25">
        <w:rPr>
          <w:sz w:val="26"/>
          <w:szCs w:val="26"/>
          <w:vertAlign w:val="superscript"/>
        </w:rPr>
        <w:t>2</w:t>
      </w:r>
      <w:r w:rsidRPr="00E86C25">
        <w:rPr>
          <w:sz w:val="26"/>
          <w:szCs w:val="26"/>
        </w:rPr>
        <w:t xml:space="preserve"> Компанія </w:t>
      </w:r>
      <w:proofErr w:type="spellStart"/>
      <w:r w:rsidRPr="00E86C25">
        <w:rPr>
          <w:sz w:val="26"/>
          <w:szCs w:val="26"/>
        </w:rPr>
        <w:t>фармаркетингу</w:t>
      </w:r>
      <w:proofErr w:type="spellEnd"/>
      <w:r w:rsidRPr="00E86C25">
        <w:rPr>
          <w:sz w:val="26"/>
          <w:szCs w:val="26"/>
        </w:rPr>
        <w:t xml:space="preserve"> «</w:t>
      </w:r>
      <w:proofErr w:type="spellStart"/>
      <w:r w:rsidRPr="00E86C25">
        <w:rPr>
          <w:sz w:val="26"/>
          <w:szCs w:val="26"/>
        </w:rPr>
        <w:t>Здраво</w:t>
      </w:r>
      <w:proofErr w:type="spellEnd"/>
      <w:r w:rsidRPr="00E86C25">
        <w:rPr>
          <w:sz w:val="26"/>
          <w:szCs w:val="26"/>
        </w:rPr>
        <w:t xml:space="preserve">», м. </w:t>
      </w:r>
      <w:r w:rsidRPr="00E86C25">
        <w:rPr>
          <w:rStyle w:val="tlid-translation"/>
          <w:sz w:val="26"/>
          <w:szCs w:val="26"/>
        </w:rPr>
        <w:t>Київ, Україна</w:t>
      </w:r>
    </w:p>
    <w:p w:rsidR="0044099C" w:rsidRPr="00C95026" w:rsidRDefault="0044099C" w:rsidP="0044099C">
      <w:pPr>
        <w:spacing w:after="120" w:line="276" w:lineRule="auto"/>
        <w:ind w:firstLine="709"/>
        <w:jc w:val="both"/>
        <w:rPr>
          <w:sz w:val="28"/>
          <w:szCs w:val="28"/>
        </w:rPr>
      </w:pPr>
      <w:r w:rsidRPr="00E86C25">
        <w:rPr>
          <w:b/>
          <w:sz w:val="28"/>
          <w:szCs w:val="28"/>
        </w:rPr>
        <w:t>Обґрунтування.</w:t>
      </w:r>
      <w:r>
        <w:rPr>
          <w:sz w:val="28"/>
          <w:szCs w:val="28"/>
        </w:rPr>
        <w:t xml:space="preserve"> </w:t>
      </w:r>
      <w:r w:rsidRPr="00C95026">
        <w:rPr>
          <w:sz w:val="28"/>
          <w:szCs w:val="28"/>
        </w:rPr>
        <w:t xml:space="preserve">Вікові </w:t>
      </w:r>
      <w:proofErr w:type="spellStart"/>
      <w:r w:rsidRPr="00C95026">
        <w:rPr>
          <w:sz w:val="28"/>
          <w:szCs w:val="28"/>
        </w:rPr>
        <w:t>морфофункціональні</w:t>
      </w:r>
      <w:proofErr w:type="spellEnd"/>
      <w:r w:rsidRPr="00C95026">
        <w:rPr>
          <w:sz w:val="28"/>
          <w:szCs w:val="28"/>
        </w:rPr>
        <w:t xml:space="preserve"> зміни в організмі призводять до розвитку артеріальної </w:t>
      </w:r>
      <w:proofErr w:type="spellStart"/>
      <w:r w:rsidRPr="00C95026">
        <w:rPr>
          <w:sz w:val="28"/>
          <w:szCs w:val="28"/>
        </w:rPr>
        <w:t>гіпоксемії</w:t>
      </w:r>
      <w:proofErr w:type="spellEnd"/>
      <w:r w:rsidRPr="00C95026">
        <w:rPr>
          <w:sz w:val="28"/>
          <w:szCs w:val="28"/>
        </w:rPr>
        <w:t xml:space="preserve">, тканинної гіпоксії та </w:t>
      </w:r>
      <w:proofErr w:type="spellStart"/>
      <w:r w:rsidRPr="00C95026">
        <w:rPr>
          <w:sz w:val="28"/>
          <w:szCs w:val="28"/>
        </w:rPr>
        <w:t>гіпоксичних</w:t>
      </w:r>
      <w:proofErr w:type="spellEnd"/>
      <w:r w:rsidRPr="00C95026">
        <w:rPr>
          <w:sz w:val="28"/>
          <w:szCs w:val="28"/>
        </w:rPr>
        <w:t xml:space="preserve"> зрушень. </w:t>
      </w:r>
      <w:r>
        <w:rPr>
          <w:sz w:val="28"/>
          <w:szCs w:val="28"/>
        </w:rPr>
        <w:t>У</w:t>
      </w:r>
      <w:r w:rsidRPr="00C95026">
        <w:rPr>
          <w:sz w:val="28"/>
          <w:szCs w:val="28"/>
        </w:rPr>
        <w:t xml:space="preserve">се це </w:t>
      </w:r>
      <w:r>
        <w:rPr>
          <w:sz w:val="28"/>
          <w:szCs w:val="28"/>
        </w:rPr>
        <w:t>зумовлює</w:t>
      </w:r>
      <w:r w:rsidRPr="00C95026">
        <w:rPr>
          <w:sz w:val="28"/>
          <w:szCs w:val="28"/>
        </w:rPr>
        <w:t xml:space="preserve"> зниження стійкості організму до гіпоксії та розвит</w:t>
      </w:r>
      <w:r>
        <w:rPr>
          <w:sz w:val="28"/>
          <w:szCs w:val="28"/>
        </w:rPr>
        <w:t>о</w:t>
      </w:r>
      <w:r w:rsidRPr="00C95026">
        <w:rPr>
          <w:sz w:val="28"/>
          <w:szCs w:val="28"/>
        </w:rPr>
        <w:t xml:space="preserve">к захворювань легень, зокрема хронічного обструктивного захворювання легень (ХОЗЛ) </w:t>
      </w:r>
      <w:r>
        <w:rPr>
          <w:sz w:val="28"/>
          <w:szCs w:val="28"/>
        </w:rPr>
        <w:t>в</w:t>
      </w:r>
      <w:r w:rsidRPr="00C95026">
        <w:rPr>
          <w:sz w:val="28"/>
          <w:szCs w:val="28"/>
        </w:rPr>
        <w:t xml:space="preserve"> осіб похилого віку. При </w:t>
      </w:r>
      <w:r>
        <w:rPr>
          <w:sz w:val="28"/>
          <w:szCs w:val="28"/>
        </w:rPr>
        <w:t>виникненні</w:t>
      </w:r>
      <w:r w:rsidRPr="00C95026">
        <w:rPr>
          <w:sz w:val="28"/>
          <w:szCs w:val="28"/>
        </w:rPr>
        <w:t xml:space="preserve"> ХОЗЛ у хворих похилого віку внаслідок бронхіальної обструкції та порушень легеневого газообміну </w:t>
      </w:r>
      <w:r w:rsidRPr="00C95026">
        <w:rPr>
          <w:rStyle w:val="shorttext"/>
          <w:sz w:val="28"/>
          <w:szCs w:val="28"/>
        </w:rPr>
        <w:t xml:space="preserve">посилюються вікові </w:t>
      </w:r>
      <w:proofErr w:type="spellStart"/>
      <w:r w:rsidRPr="00C95026">
        <w:rPr>
          <w:rStyle w:val="shorttext"/>
          <w:sz w:val="28"/>
          <w:szCs w:val="28"/>
        </w:rPr>
        <w:t>гіпоксичні</w:t>
      </w:r>
      <w:proofErr w:type="spellEnd"/>
      <w:r w:rsidRPr="00C95026">
        <w:rPr>
          <w:rStyle w:val="shorttext"/>
          <w:sz w:val="28"/>
          <w:szCs w:val="28"/>
        </w:rPr>
        <w:t xml:space="preserve"> зрушення, артеріальна </w:t>
      </w:r>
      <w:proofErr w:type="spellStart"/>
      <w:r w:rsidRPr="00C95026">
        <w:rPr>
          <w:rStyle w:val="shorttext"/>
          <w:sz w:val="28"/>
          <w:szCs w:val="28"/>
        </w:rPr>
        <w:t>гіпоксемія</w:t>
      </w:r>
      <w:proofErr w:type="spellEnd"/>
      <w:r w:rsidRPr="00C95026">
        <w:rPr>
          <w:rStyle w:val="shorttext"/>
          <w:sz w:val="28"/>
          <w:szCs w:val="28"/>
        </w:rPr>
        <w:t xml:space="preserve">, тканинна гіпоксія та </w:t>
      </w:r>
      <w:r>
        <w:rPr>
          <w:rStyle w:val="shorttext"/>
          <w:sz w:val="28"/>
          <w:szCs w:val="28"/>
        </w:rPr>
        <w:t xml:space="preserve">ще більше знижується </w:t>
      </w:r>
      <w:r w:rsidRPr="00C95026">
        <w:rPr>
          <w:sz w:val="28"/>
          <w:szCs w:val="28"/>
        </w:rPr>
        <w:t>стійкість до гіпоксії</w:t>
      </w:r>
      <w:r w:rsidRPr="00C95026">
        <w:rPr>
          <w:rStyle w:val="shorttext"/>
          <w:sz w:val="28"/>
          <w:szCs w:val="28"/>
        </w:rPr>
        <w:t xml:space="preserve">. </w:t>
      </w:r>
      <w:r>
        <w:rPr>
          <w:rStyle w:val="shorttext"/>
          <w:sz w:val="28"/>
          <w:szCs w:val="28"/>
        </w:rPr>
        <w:t>Проте</w:t>
      </w:r>
      <w:r w:rsidRPr="00C95026">
        <w:rPr>
          <w:sz w:val="28"/>
          <w:szCs w:val="28"/>
        </w:rPr>
        <w:t xml:space="preserve"> зв</w:t>
      </w:r>
      <w:r>
        <w:rPr>
          <w:sz w:val="28"/>
          <w:szCs w:val="28"/>
        </w:rPr>
        <w:t>’</w:t>
      </w:r>
      <w:r w:rsidRPr="00C95026">
        <w:rPr>
          <w:sz w:val="28"/>
          <w:szCs w:val="28"/>
        </w:rPr>
        <w:t>язок між бронхіальною обструкцією та стійкістю до гіпоксії у хворих на ХОЗЛ похилого віку практично не вивчався.</w:t>
      </w:r>
    </w:p>
    <w:p w:rsidR="0044099C" w:rsidRPr="00C95026" w:rsidRDefault="0044099C" w:rsidP="0044099C">
      <w:pPr>
        <w:spacing w:after="120" w:line="276" w:lineRule="auto"/>
        <w:ind w:firstLine="709"/>
        <w:jc w:val="both"/>
        <w:rPr>
          <w:sz w:val="28"/>
          <w:szCs w:val="28"/>
        </w:rPr>
      </w:pPr>
      <w:r w:rsidRPr="00C95026">
        <w:rPr>
          <w:b/>
          <w:sz w:val="28"/>
          <w:szCs w:val="28"/>
        </w:rPr>
        <w:t>Мета.</w:t>
      </w:r>
      <w:r w:rsidRPr="00C95026">
        <w:rPr>
          <w:sz w:val="28"/>
          <w:szCs w:val="28"/>
        </w:rPr>
        <w:t xml:space="preserve"> Виявити зв</w:t>
      </w:r>
      <w:r>
        <w:rPr>
          <w:sz w:val="28"/>
          <w:szCs w:val="28"/>
        </w:rPr>
        <w:t>’</w:t>
      </w:r>
      <w:r w:rsidRPr="00C95026">
        <w:rPr>
          <w:sz w:val="28"/>
          <w:szCs w:val="28"/>
        </w:rPr>
        <w:t>язок між бронхіальною прохідністю та стійкістю до гіпоксії у хворих похилого віку з ХОЗЛ.</w:t>
      </w:r>
    </w:p>
    <w:p w:rsidR="0044099C" w:rsidRPr="00C95026" w:rsidRDefault="0044099C" w:rsidP="0044099C">
      <w:pPr>
        <w:spacing w:after="120" w:line="276" w:lineRule="auto"/>
        <w:ind w:firstLine="709"/>
        <w:jc w:val="both"/>
        <w:rPr>
          <w:sz w:val="28"/>
          <w:szCs w:val="28"/>
        </w:rPr>
      </w:pPr>
      <w:r w:rsidRPr="00C95026">
        <w:rPr>
          <w:b/>
          <w:sz w:val="28"/>
          <w:szCs w:val="28"/>
        </w:rPr>
        <w:t xml:space="preserve">Матеріали </w:t>
      </w:r>
      <w:r>
        <w:rPr>
          <w:b/>
          <w:sz w:val="28"/>
          <w:szCs w:val="28"/>
        </w:rPr>
        <w:t>та</w:t>
      </w:r>
      <w:r w:rsidRPr="00C95026">
        <w:rPr>
          <w:b/>
          <w:sz w:val="28"/>
          <w:szCs w:val="28"/>
        </w:rPr>
        <w:t xml:space="preserve"> методи</w:t>
      </w:r>
      <w:r w:rsidRPr="009B3029">
        <w:rPr>
          <w:rStyle w:val="a3"/>
          <w:b/>
          <w:sz w:val="28"/>
          <w:szCs w:val="28"/>
        </w:rPr>
        <w:t>.</w:t>
      </w:r>
      <w:r w:rsidRPr="009B3029">
        <w:rPr>
          <w:rStyle w:val="a3"/>
          <w:sz w:val="28"/>
          <w:szCs w:val="28"/>
        </w:rPr>
        <w:t xml:space="preserve"> </w:t>
      </w:r>
      <w:r w:rsidRPr="00C95026">
        <w:rPr>
          <w:sz w:val="28"/>
          <w:szCs w:val="28"/>
        </w:rPr>
        <w:t xml:space="preserve">У дослідження включено 30 хворих на ХОЗЛ похилого віку (60-74 роки), I-II ст., поза загостренням, </w:t>
      </w:r>
      <w:r>
        <w:rPr>
          <w:sz w:val="28"/>
          <w:szCs w:val="28"/>
        </w:rPr>
        <w:t>і</w:t>
      </w:r>
      <w:r w:rsidRPr="00C95026">
        <w:rPr>
          <w:sz w:val="28"/>
          <w:szCs w:val="28"/>
        </w:rPr>
        <w:t xml:space="preserve">з давністю захворювання від 7 до 26 років, групи ризику A </w:t>
      </w:r>
      <w:r>
        <w:rPr>
          <w:sz w:val="28"/>
          <w:szCs w:val="28"/>
        </w:rPr>
        <w:t>та</w:t>
      </w:r>
      <w:r w:rsidRPr="00C95026">
        <w:rPr>
          <w:sz w:val="28"/>
          <w:szCs w:val="28"/>
        </w:rPr>
        <w:t xml:space="preserve"> B. Тип і ступінь </w:t>
      </w:r>
      <w:proofErr w:type="spellStart"/>
      <w:r w:rsidRPr="00C95026">
        <w:rPr>
          <w:sz w:val="28"/>
          <w:szCs w:val="28"/>
        </w:rPr>
        <w:t>вираженості</w:t>
      </w:r>
      <w:proofErr w:type="spellEnd"/>
      <w:r w:rsidRPr="00C95026">
        <w:rPr>
          <w:sz w:val="28"/>
          <w:szCs w:val="28"/>
        </w:rPr>
        <w:t xml:space="preserve"> порушень вентиляційної функції легень оцінювалися за показниками спірометрії </w:t>
      </w:r>
      <w:r>
        <w:rPr>
          <w:sz w:val="28"/>
          <w:szCs w:val="28"/>
        </w:rPr>
        <w:t>та</w:t>
      </w:r>
      <w:r w:rsidRPr="00C95026">
        <w:rPr>
          <w:sz w:val="28"/>
          <w:szCs w:val="28"/>
        </w:rPr>
        <w:t xml:space="preserve"> кривої </w:t>
      </w:r>
      <w:r>
        <w:rPr>
          <w:sz w:val="28"/>
          <w:szCs w:val="28"/>
        </w:rPr>
        <w:t>«</w:t>
      </w:r>
      <w:r w:rsidRPr="00C95026">
        <w:rPr>
          <w:sz w:val="28"/>
          <w:szCs w:val="28"/>
        </w:rPr>
        <w:t>потік</w:t>
      </w:r>
      <w:r>
        <w:rPr>
          <w:sz w:val="28"/>
          <w:szCs w:val="28"/>
        </w:rPr>
        <w:t>/</w:t>
      </w:r>
      <w:r w:rsidRPr="00C95026">
        <w:rPr>
          <w:sz w:val="28"/>
          <w:szCs w:val="28"/>
        </w:rPr>
        <w:t>об</w:t>
      </w:r>
      <w:r>
        <w:rPr>
          <w:sz w:val="28"/>
          <w:szCs w:val="28"/>
        </w:rPr>
        <w:t>’</w:t>
      </w:r>
      <w:r w:rsidRPr="00C95026">
        <w:rPr>
          <w:sz w:val="28"/>
          <w:szCs w:val="28"/>
        </w:rPr>
        <w:t>єм</w:t>
      </w:r>
      <w:r>
        <w:rPr>
          <w:sz w:val="28"/>
          <w:szCs w:val="28"/>
        </w:rPr>
        <w:t>»</w:t>
      </w:r>
      <w:r w:rsidRPr="00C95026">
        <w:rPr>
          <w:sz w:val="28"/>
          <w:szCs w:val="28"/>
        </w:rPr>
        <w:t xml:space="preserve"> форсованого видиху на апараті </w:t>
      </w:r>
      <w:proofErr w:type="spellStart"/>
      <w:r w:rsidRPr="00C95026">
        <w:rPr>
          <w:sz w:val="28"/>
          <w:szCs w:val="28"/>
        </w:rPr>
        <w:t>Spirobank</w:t>
      </w:r>
      <w:proofErr w:type="spellEnd"/>
      <w:r w:rsidRPr="00C95026">
        <w:rPr>
          <w:sz w:val="28"/>
          <w:szCs w:val="28"/>
        </w:rPr>
        <w:t xml:space="preserve"> (</w:t>
      </w:r>
      <w:proofErr w:type="spellStart"/>
      <w:r w:rsidRPr="00C95026">
        <w:rPr>
          <w:sz w:val="28"/>
          <w:szCs w:val="28"/>
        </w:rPr>
        <w:t>Mir</w:t>
      </w:r>
      <w:proofErr w:type="spellEnd"/>
      <w:r w:rsidRPr="00C95026">
        <w:rPr>
          <w:sz w:val="28"/>
          <w:szCs w:val="28"/>
        </w:rPr>
        <w:t xml:space="preserve">, Італія). Для визначення стійкості організму до гіпоксії проводили </w:t>
      </w:r>
      <w:proofErr w:type="spellStart"/>
      <w:r w:rsidRPr="00C95026">
        <w:rPr>
          <w:sz w:val="28"/>
          <w:szCs w:val="28"/>
        </w:rPr>
        <w:t>гіпоксичну</w:t>
      </w:r>
      <w:proofErr w:type="spellEnd"/>
      <w:r w:rsidRPr="00C95026">
        <w:rPr>
          <w:sz w:val="28"/>
          <w:szCs w:val="28"/>
        </w:rPr>
        <w:t xml:space="preserve"> пробу зі 12</w:t>
      </w:r>
      <w:r>
        <w:rPr>
          <w:sz w:val="28"/>
          <w:szCs w:val="28"/>
        </w:rPr>
        <w:t> %</w:t>
      </w:r>
      <w:r w:rsidRPr="00C95026">
        <w:rPr>
          <w:sz w:val="28"/>
          <w:szCs w:val="28"/>
        </w:rPr>
        <w:t xml:space="preserve"> </w:t>
      </w:r>
      <w:r>
        <w:rPr>
          <w:sz w:val="28"/>
          <w:szCs w:val="28"/>
        </w:rPr>
        <w:t>у</w:t>
      </w:r>
      <w:r w:rsidRPr="00C95026">
        <w:rPr>
          <w:sz w:val="28"/>
          <w:szCs w:val="28"/>
        </w:rPr>
        <w:t xml:space="preserve">містом кисню протягом </w:t>
      </w:r>
      <w:r>
        <w:rPr>
          <w:sz w:val="28"/>
          <w:szCs w:val="28"/>
        </w:rPr>
        <w:t>20</w:t>
      </w:r>
      <w:r w:rsidRPr="00C95026">
        <w:rPr>
          <w:sz w:val="28"/>
          <w:szCs w:val="28"/>
        </w:rPr>
        <w:t xml:space="preserve"> </w:t>
      </w:r>
      <w:proofErr w:type="spellStart"/>
      <w:r w:rsidRPr="00C95026">
        <w:rPr>
          <w:sz w:val="28"/>
          <w:szCs w:val="28"/>
        </w:rPr>
        <w:t>хв</w:t>
      </w:r>
      <w:proofErr w:type="spellEnd"/>
      <w:r w:rsidRPr="00C95026">
        <w:rPr>
          <w:sz w:val="28"/>
          <w:szCs w:val="28"/>
        </w:rPr>
        <w:t xml:space="preserve"> </w:t>
      </w:r>
      <w:r>
        <w:rPr>
          <w:sz w:val="28"/>
          <w:szCs w:val="28"/>
        </w:rPr>
        <w:t>і</w:t>
      </w:r>
      <w:r w:rsidRPr="00C95026">
        <w:rPr>
          <w:sz w:val="28"/>
          <w:szCs w:val="28"/>
        </w:rPr>
        <w:t xml:space="preserve">з </w:t>
      </w:r>
      <w:proofErr w:type="spellStart"/>
      <w:r w:rsidRPr="00C95026">
        <w:rPr>
          <w:sz w:val="28"/>
          <w:szCs w:val="28"/>
        </w:rPr>
        <w:t>моніторуванням</w:t>
      </w:r>
      <w:proofErr w:type="spellEnd"/>
      <w:r w:rsidRPr="00C95026">
        <w:rPr>
          <w:sz w:val="28"/>
          <w:szCs w:val="28"/>
        </w:rPr>
        <w:t xml:space="preserve"> сатурації крові за допомогою автоматизованого програмно-апаратного комплексу «</w:t>
      </w:r>
      <w:proofErr w:type="spellStart"/>
      <w:r w:rsidRPr="00C95026">
        <w:rPr>
          <w:sz w:val="28"/>
          <w:szCs w:val="28"/>
        </w:rPr>
        <w:t>Гіпотрон</w:t>
      </w:r>
      <w:proofErr w:type="spellEnd"/>
      <w:r w:rsidRPr="00C95026">
        <w:rPr>
          <w:sz w:val="28"/>
          <w:szCs w:val="28"/>
        </w:rPr>
        <w:t>» (Україна).</w:t>
      </w:r>
    </w:p>
    <w:p w:rsidR="0044099C" w:rsidRPr="00C95026" w:rsidRDefault="0044099C" w:rsidP="0044099C">
      <w:pPr>
        <w:spacing w:after="120" w:line="276" w:lineRule="auto"/>
        <w:ind w:firstLine="709"/>
        <w:jc w:val="both"/>
        <w:rPr>
          <w:sz w:val="28"/>
          <w:szCs w:val="28"/>
        </w:rPr>
      </w:pPr>
      <w:r w:rsidRPr="00C95026">
        <w:rPr>
          <w:b/>
          <w:sz w:val="28"/>
          <w:szCs w:val="28"/>
        </w:rPr>
        <w:t>Результати</w:t>
      </w:r>
      <w:r w:rsidRPr="009B3029">
        <w:rPr>
          <w:rStyle w:val="a3"/>
          <w:b/>
          <w:sz w:val="28"/>
          <w:szCs w:val="28"/>
        </w:rPr>
        <w:t>.</w:t>
      </w:r>
      <w:r w:rsidRPr="009B3029">
        <w:rPr>
          <w:rStyle w:val="a3"/>
          <w:sz w:val="28"/>
          <w:szCs w:val="28"/>
        </w:rPr>
        <w:t xml:space="preserve"> Д</w:t>
      </w:r>
      <w:r w:rsidRPr="00C95026">
        <w:rPr>
          <w:sz w:val="28"/>
          <w:szCs w:val="28"/>
        </w:rPr>
        <w:t xml:space="preserve">ослідження показали, що при </w:t>
      </w:r>
      <w:proofErr w:type="spellStart"/>
      <w:r w:rsidRPr="00C95026">
        <w:rPr>
          <w:sz w:val="28"/>
          <w:szCs w:val="28"/>
        </w:rPr>
        <w:t>гіпоксичному</w:t>
      </w:r>
      <w:proofErr w:type="spellEnd"/>
      <w:r w:rsidRPr="00C95026">
        <w:rPr>
          <w:sz w:val="28"/>
          <w:szCs w:val="28"/>
        </w:rPr>
        <w:t xml:space="preserve"> впливі сатурація крові у хворих похилого віку з ХОЗЛ знижується в середньому на</w:t>
      </w:r>
      <w:r>
        <w:rPr>
          <w:sz w:val="28"/>
          <w:szCs w:val="28"/>
        </w:rPr>
        <w:t xml:space="preserve"> </w:t>
      </w:r>
      <w:r w:rsidRPr="00C95026">
        <w:rPr>
          <w:sz w:val="28"/>
          <w:szCs w:val="28"/>
        </w:rPr>
        <w:t>18,23</w:t>
      </w:r>
      <w:r w:rsidRPr="00C95026">
        <w:rPr>
          <w:sz w:val="28"/>
          <w:szCs w:val="28"/>
        </w:rPr>
        <w:sym w:font="Symbol" w:char="F0B1"/>
      </w:r>
      <w:r w:rsidRPr="00C95026">
        <w:rPr>
          <w:sz w:val="28"/>
          <w:szCs w:val="28"/>
        </w:rPr>
        <w:t>0,26</w:t>
      </w:r>
      <w:r>
        <w:rPr>
          <w:sz w:val="28"/>
          <w:szCs w:val="28"/>
        </w:rPr>
        <w:t> %</w:t>
      </w:r>
      <w:r w:rsidRPr="00C95026">
        <w:rPr>
          <w:sz w:val="28"/>
          <w:szCs w:val="28"/>
        </w:rPr>
        <w:t xml:space="preserve">. Таке зниження сатурації крові можна розцінювати як виражену артеріальну </w:t>
      </w:r>
      <w:proofErr w:type="spellStart"/>
      <w:r w:rsidRPr="00C95026">
        <w:rPr>
          <w:sz w:val="28"/>
          <w:szCs w:val="28"/>
        </w:rPr>
        <w:t>гіпоксемію</w:t>
      </w:r>
      <w:proofErr w:type="spellEnd"/>
      <w:r w:rsidRPr="00C95026">
        <w:rPr>
          <w:sz w:val="28"/>
          <w:szCs w:val="28"/>
        </w:rPr>
        <w:t>. В</w:t>
      </w:r>
      <w:r>
        <w:rPr>
          <w:sz w:val="28"/>
          <w:szCs w:val="28"/>
        </w:rPr>
        <w:t>одно</w:t>
      </w:r>
      <w:r w:rsidRPr="00C95026">
        <w:rPr>
          <w:sz w:val="28"/>
          <w:szCs w:val="28"/>
        </w:rPr>
        <w:t>час у хворих похилого віку з ХОЗЛ зі збільшенням порушень бронхіальної прохідності зсуви сатурації при гіпоксії в середньому також збільшуються. Виявлена достовірна кореляція (r=0,50</w:t>
      </w:r>
      <w:r>
        <w:rPr>
          <w:sz w:val="28"/>
          <w:szCs w:val="28"/>
        </w:rPr>
        <w:t>;</w:t>
      </w:r>
      <w:r w:rsidRPr="00C95026">
        <w:rPr>
          <w:sz w:val="28"/>
          <w:szCs w:val="28"/>
        </w:rPr>
        <w:t xml:space="preserve"> p=0,006) зсувів сатурації крові при гіпоксії з бронхіальною обструкцією.</w:t>
      </w:r>
    </w:p>
    <w:p w:rsidR="0044099C" w:rsidRPr="00C95026" w:rsidRDefault="0044099C" w:rsidP="0044099C">
      <w:pPr>
        <w:spacing w:after="120" w:line="276" w:lineRule="auto"/>
        <w:ind w:firstLine="709"/>
        <w:jc w:val="both"/>
        <w:rPr>
          <w:sz w:val="28"/>
          <w:szCs w:val="28"/>
        </w:rPr>
      </w:pPr>
      <w:r w:rsidRPr="00C95026">
        <w:rPr>
          <w:b/>
          <w:sz w:val="28"/>
          <w:szCs w:val="28"/>
        </w:rPr>
        <w:t>Висновк</w:t>
      </w:r>
      <w:r>
        <w:rPr>
          <w:b/>
          <w:sz w:val="28"/>
          <w:szCs w:val="28"/>
        </w:rPr>
        <w:t>и</w:t>
      </w:r>
      <w:r w:rsidRPr="00C95026">
        <w:rPr>
          <w:b/>
          <w:sz w:val="28"/>
          <w:szCs w:val="28"/>
        </w:rPr>
        <w:t>.</w:t>
      </w:r>
      <w:r w:rsidRPr="009B3029">
        <w:rPr>
          <w:sz w:val="28"/>
          <w:szCs w:val="28"/>
        </w:rPr>
        <w:t xml:space="preserve"> </w:t>
      </w:r>
      <w:r w:rsidRPr="00C95026">
        <w:rPr>
          <w:sz w:val="28"/>
          <w:szCs w:val="28"/>
        </w:rPr>
        <w:t>У хворих похилого віку з ХОЗЛ стійкість до гіпоксії визначається бронхіальною обструкцією.</w:t>
      </w:r>
    </w:p>
    <w:p w:rsidR="0044099C" w:rsidRDefault="0044099C" w:rsidP="0044099C">
      <w:pPr>
        <w:spacing w:after="120" w:line="276" w:lineRule="auto"/>
        <w:ind w:firstLine="709"/>
        <w:jc w:val="both"/>
        <w:rPr>
          <w:sz w:val="28"/>
          <w:szCs w:val="28"/>
          <w:lang w:val="en-US"/>
        </w:rPr>
      </w:pPr>
      <w:r w:rsidRPr="00C95026">
        <w:rPr>
          <w:b/>
          <w:sz w:val="28"/>
          <w:szCs w:val="28"/>
        </w:rPr>
        <w:t>Ключові слова</w:t>
      </w:r>
      <w:r>
        <w:rPr>
          <w:b/>
          <w:sz w:val="28"/>
          <w:szCs w:val="28"/>
        </w:rPr>
        <w:t>:</w:t>
      </w:r>
      <w:r w:rsidRPr="009B3029">
        <w:rPr>
          <w:sz w:val="28"/>
          <w:szCs w:val="28"/>
        </w:rPr>
        <w:t xml:space="preserve"> </w:t>
      </w:r>
      <w:r w:rsidRPr="00C95026">
        <w:rPr>
          <w:sz w:val="28"/>
          <w:szCs w:val="28"/>
        </w:rPr>
        <w:t>ХОЗЛ, похилий вік, стійкість до гіпоксії, бронхіальна обструкція.</w:t>
      </w:r>
    </w:p>
    <w:p w:rsidR="0044099C" w:rsidRDefault="0044099C" w:rsidP="0044099C">
      <w:pPr>
        <w:spacing w:after="120" w:line="276" w:lineRule="auto"/>
        <w:ind w:firstLine="0"/>
        <w:jc w:val="both"/>
      </w:pPr>
      <w:r>
        <w:rPr>
          <w:i/>
          <w:color w:val="000000"/>
          <w:sz w:val="28"/>
          <w:szCs w:val="28"/>
        </w:rPr>
        <w:lastRenderedPageBreak/>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44099C" w:rsidRPr="00C95026" w:rsidRDefault="0044099C" w:rsidP="0044099C">
      <w:pPr>
        <w:spacing w:after="120" w:line="276" w:lineRule="auto"/>
        <w:ind w:firstLine="709"/>
        <w:jc w:val="both"/>
        <w:rPr>
          <w:sz w:val="28"/>
          <w:szCs w:val="28"/>
        </w:rPr>
      </w:pPr>
    </w:p>
    <w:p w:rsidR="0044099C" w:rsidRPr="00E86C25" w:rsidRDefault="0044099C" w:rsidP="0044099C">
      <w:pPr>
        <w:spacing w:after="120" w:line="276" w:lineRule="auto"/>
        <w:ind w:firstLine="0"/>
        <w:jc w:val="both"/>
        <w:rPr>
          <w:b/>
          <w:sz w:val="32"/>
          <w:szCs w:val="28"/>
          <w:lang w:val="en-US"/>
        </w:rPr>
      </w:pPr>
      <w:r w:rsidRPr="00E86C25">
        <w:rPr>
          <w:b/>
          <w:sz w:val="32"/>
          <w:szCs w:val="28"/>
          <w:lang w:val="en-US"/>
        </w:rPr>
        <w:t>Bronchial obstruction and resistance to hypoxia in elderly patients with COPD</w:t>
      </w:r>
    </w:p>
    <w:p w:rsidR="0044099C" w:rsidRPr="00E86C25" w:rsidRDefault="0044099C" w:rsidP="0044099C">
      <w:pPr>
        <w:spacing w:after="120" w:line="276" w:lineRule="auto"/>
        <w:ind w:firstLine="0"/>
        <w:jc w:val="both"/>
        <w:rPr>
          <w:b/>
          <w:sz w:val="26"/>
          <w:szCs w:val="26"/>
          <w:lang w:val="en-US"/>
        </w:rPr>
      </w:pPr>
      <w:proofErr w:type="spellStart"/>
      <w:r w:rsidRPr="00E86C25">
        <w:rPr>
          <w:b/>
          <w:sz w:val="26"/>
          <w:szCs w:val="26"/>
          <w:lang w:val="en-US"/>
        </w:rPr>
        <w:t>Asanov</w:t>
      </w:r>
      <w:proofErr w:type="spellEnd"/>
      <w:r w:rsidRPr="00E86C25">
        <w:rPr>
          <w:b/>
          <w:sz w:val="26"/>
          <w:szCs w:val="26"/>
          <w:lang w:val="en-US"/>
        </w:rPr>
        <w:t xml:space="preserve"> E.O.</w:t>
      </w:r>
      <w:r w:rsidRPr="00E86C25">
        <w:rPr>
          <w:b/>
          <w:sz w:val="26"/>
          <w:szCs w:val="26"/>
          <w:vertAlign w:val="superscript"/>
          <w:lang w:val="en-US"/>
        </w:rPr>
        <w:t>1</w:t>
      </w:r>
      <w:r w:rsidRPr="00E86C25">
        <w:rPr>
          <w:b/>
          <w:sz w:val="26"/>
          <w:szCs w:val="26"/>
          <w:lang w:val="en-US"/>
        </w:rPr>
        <w:t xml:space="preserve">, </w:t>
      </w:r>
      <w:proofErr w:type="spellStart"/>
      <w:r w:rsidRPr="00E86C25">
        <w:rPr>
          <w:b/>
          <w:sz w:val="26"/>
          <w:szCs w:val="26"/>
          <w:lang w:val="en-US"/>
        </w:rPr>
        <w:t>Holubova</w:t>
      </w:r>
      <w:proofErr w:type="spellEnd"/>
      <w:r w:rsidRPr="00E86C25">
        <w:rPr>
          <w:b/>
          <w:sz w:val="26"/>
          <w:szCs w:val="26"/>
          <w:lang w:val="en-US"/>
        </w:rPr>
        <w:t xml:space="preserve"> Yu.I.</w:t>
      </w:r>
      <w:r w:rsidRPr="00E86C25">
        <w:rPr>
          <w:b/>
          <w:sz w:val="26"/>
          <w:szCs w:val="26"/>
          <w:vertAlign w:val="superscript"/>
          <w:lang w:val="en-US"/>
        </w:rPr>
        <w:t>1</w:t>
      </w:r>
      <w:r w:rsidRPr="00E86C25">
        <w:rPr>
          <w:b/>
          <w:sz w:val="26"/>
          <w:szCs w:val="26"/>
          <w:lang w:val="en-US"/>
        </w:rPr>
        <w:t xml:space="preserve">, </w:t>
      </w:r>
      <w:proofErr w:type="spellStart"/>
      <w:r w:rsidRPr="00E86C25">
        <w:rPr>
          <w:b/>
          <w:sz w:val="26"/>
          <w:szCs w:val="26"/>
          <w:lang w:val="en-US"/>
        </w:rPr>
        <w:t>Diba</w:t>
      </w:r>
      <w:proofErr w:type="spellEnd"/>
      <w:r w:rsidRPr="00E86C25">
        <w:rPr>
          <w:b/>
          <w:sz w:val="26"/>
          <w:szCs w:val="26"/>
          <w:lang w:val="en-US"/>
        </w:rPr>
        <w:t xml:space="preserve"> I.A.</w:t>
      </w:r>
      <w:r w:rsidRPr="00E86C25">
        <w:rPr>
          <w:b/>
          <w:sz w:val="26"/>
          <w:szCs w:val="26"/>
          <w:vertAlign w:val="superscript"/>
          <w:lang w:val="en-US"/>
        </w:rPr>
        <w:t>1</w:t>
      </w:r>
      <w:r w:rsidRPr="00E86C25">
        <w:rPr>
          <w:b/>
          <w:sz w:val="26"/>
          <w:szCs w:val="26"/>
          <w:lang w:val="en-US"/>
        </w:rPr>
        <w:t xml:space="preserve">, </w:t>
      </w:r>
      <w:proofErr w:type="spellStart"/>
      <w:r w:rsidRPr="00E86C25">
        <w:rPr>
          <w:b/>
          <w:sz w:val="26"/>
          <w:szCs w:val="26"/>
          <w:lang w:val="en-US"/>
        </w:rPr>
        <w:t>Asanova</w:t>
      </w:r>
      <w:proofErr w:type="spellEnd"/>
      <w:r w:rsidRPr="00E86C25">
        <w:rPr>
          <w:b/>
          <w:sz w:val="26"/>
          <w:szCs w:val="26"/>
          <w:lang w:val="en-US"/>
        </w:rPr>
        <w:t xml:space="preserve"> S.O.</w:t>
      </w:r>
      <w:r w:rsidRPr="00E86C25">
        <w:rPr>
          <w:b/>
          <w:sz w:val="26"/>
          <w:szCs w:val="26"/>
          <w:vertAlign w:val="superscript"/>
          <w:lang w:val="en-US"/>
        </w:rPr>
        <w:t>2</w:t>
      </w:r>
      <w:r w:rsidRPr="00E86C25">
        <w:rPr>
          <w:b/>
          <w:sz w:val="26"/>
          <w:szCs w:val="26"/>
          <w:lang w:val="en-US"/>
        </w:rPr>
        <w:t xml:space="preserve">, </w:t>
      </w:r>
      <w:proofErr w:type="spellStart"/>
      <w:r w:rsidRPr="00E86C25">
        <w:rPr>
          <w:b/>
          <w:sz w:val="26"/>
          <w:szCs w:val="26"/>
          <w:lang w:val="en-US"/>
        </w:rPr>
        <w:t>Voynarovskaya</w:t>
      </w:r>
      <w:proofErr w:type="spellEnd"/>
      <w:r w:rsidRPr="00E86C25">
        <w:rPr>
          <w:b/>
          <w:sz w:val="26"/>
          <w:szCs w:val="26"/>
          <w:lang w:val="en-US"/>
        </w:rPr>
        <w:t xml:space="preserve"> G.P.</w:t>
      </w:r>
      <w:r w:rsidRPr="00E86C25">
        <w:rPr>
          <w:b/>
          <w:sz w:val="26"/>
          <w:szCs w:val="26"/>
          <w:vertAlign w:val="superscript"/>
          <w:lang w:val="en-US"/>
        </w:rPr>
        <w:t>1</w:t>
      </w:r>
    </w:p>
    <w:p w:rsidR="0044099C" w:rsidRPr="00E86C25" w:rsidRDefault="0044099C" w:rsidP="0044099C">
      <w:pPr>
        <w:spacing w:after="120" w:line="276" w:lineRule="auto"/>
        <w:ind w:firstLine="0"/>
        <w:jc w:val="both"/>
        <w:rPr>
          <w:sz w:val="26"/>
          <w:szCs w:val="26"/>
          <w:lang w:val="en-US"/>
        </w:rPr>
      </w:pPr>
      <w:r w:rsidRPr="00E86C25">
        <w:rPr>
          <w:sz w:val="26"/>
          <w:szCs w:val="26"/>
          <w:vertAlign w:val="superscript"/>
          <w:lang w:val="en-US"/>
        </w:rPr>
        <w:t>1</w:t>
      </w:r>
      <w:r w:rsidRPr="00E86C25">
        <w:rPr>
          <w:sz w:val="26"/>
          <w:szCs w:val="26"/>
          <w:lang w:val="en-US"/>
        </w:rPr>
        <w:t xml:space="preserve"> State Institution “</w:t>
      </w:r>
      <w:proofErr w:type="spellStart"/>
      <w:r w:rsidRPr="00E86C25">
        <w:rPr>
          <w:sz w:val="26"/>
          <w:szCs w:val="26"/>
          <w:lang w:val="en-US"/>
        </w:rPr>
        <w:t>Chebotarev</w:t>
      </w:r>
      <w:proofErr w:type="spellEnd"/>
      <w:r w:rsidRPr="00E86C25">
        <w:rPr>
          <w:sz w:val="26"/>
          <w:szCs w:val="26"/>
          <w:lang w:val="en-US"/>
        </w:rPr>
        <w:t xml:space="preserve"> Institute of Gerontology of the National Academy of Medical Sciences of Ukraine”, Kyiv, Ukraine</w:t>
      </w:r>
    </w:p>
    <w:p w:rsidR="0044099C" w:rsidRPr="00E86C25" w:rsidRDefault="0044099C" w:rsidP="0044099C">
      <w:pPr>
        <w:spacing w:after="120" w:line="276" w:lineRule="auto"/>
        <w:ind w:firstLine="0"/>
        <w:jc w:val="both"/>
        <w:outlineLvl w:val="1"/>
        <w:rPr>
          <w:bCs/>
          <w:sz w:val="26"/>
          <w:szCs w:val="26"/>
          <w:lang w:val="en-US"/>
        </w:rPr>
      </w:pPr>
      <w:r w:rsidRPr="00E86C25">
        <w:rPr>
          <w:bCs/>
          <w:sz w:val="26"/>
          <w:szCs w:val="26"/>
          <w:vertAlign w:val="superscript"/>
          <w:lang w:val="en-US"/>
        </w:rPr>
        <w:t>2</w:t>
      </w:r>
      <w:r w:rsidRPr="00E86C25">
        <w:rPr>
          <w:bCs/>
          <w:sz w:val="26"/>
          <w:szCs w:val="26"/>
          <w:lang w:val="en-US"/>
        </w:rPr>
        <w:t xml:space="preserve"> </w:t>
      </w:r>
      <w:proofErr w:type="spellStart"/>
      <w:r w:rsidRPr="00E86C25">
        <w:rPr>
          <w:bCs/>
          <w:sz w:val="26"/>
          <w:szCs w:val="26"/>
          <w:lang w:val="en-US"/>
        </w:rPr>
        <w:t>Zdravo</w:t>
      </w:r>
      <w:proofErr w:type="spellEnd"/>
      <w:r w:rsidRPr="00E86C25">
        <w:rPr>
          <w:bCs/>
          <w:sz w:val="26"/>
          <w:szCs w:val="26"/>
          <w:lang w:val="en-US"/>
        </w:rPr>
        <w:t xml:space="preserve"> Pharmaceutical Marketing Company, Kyiv, Ukraine</w:t>
      </w:r>
    </w:p>
    <w:p w:rsidR="0044099C" w:rsidRPr="005C732A" w:rsidRDefault="0044099C" w:rsidP="0044099C">
      <w:pPr>
        <w:spacing w:after="120" w:line="276" w:lineRule="auto"/>
        <w:ind w:firstLine="709"/>
        <w:jc w:val="both"/>
        <w:rPr>
          <w:bCs/>
          <w:sz w:val="28"/>
          <w:szCs w:val="28"/>
          <w:lang w:val="en-US"/>
        </w:rPr>
      </w:pPr>
      <w:proofErr w:type="gramStart"/>
      <w:r w:rsidRPr="005C732A">
        <w:rPr>
          <w:b/>
          <w:bCs/>
          <w:sz w:val="28"/>
          <w:szCs w:val="28"/>
          <w:lang w:val="en-US"/>
        </w:rPr>
        <w:t>Background.</w:t>
      </w:r>
      <w:proofErr w:type="gramEnd"/>
      <w:r w:rsidRPr="005C732A">
        <w:rPr>
          <w:bCs/>
          <w:sz w:val="28"/>
          <w:szCs w:val="28"/>
          <w:lang w:val="en-US"/>
        </w:rPr>
        <w:t xml:space="preserve"> Age-related </w:t>
      </w:r>
      <w:proofErr w:type="spellStart"/>
      <w:r w:rsidRPr="005C732A">
        <w:rPr>
          <w:bCs/>
          <w:sz w:val="28"/>
          <w:szCs w:val="28"/>
          <w:lang w:val="en-US"/>
        </w:rPr>
        <w:t>morphofunctional</w:t>
      </w:r>
      <w:proofErr w:type="spellEnd"/>
      <w:r w:rsidRPr="005C732A">
        <w:rPr>
          <w:bCs/>
          <w:sz w:val="28"/>
          <w:szCs w:val="28"/>
          <w:lang w:val="en-US"/>
        </w:rPr>
        <w:t xml:space="preserve"> changes in the body lead to the development of arterial hypoxemia, tissue hypoxia and hypoxic changes. All this causes a decrease in the body’s resistance to hypoxia and contributes to the development of lung diseases, in particular, chronic obstructive pulmonary disease (COPD) in the elderly. With the development of COPD in the elderly due to bronchial obstruction and disorders of pulmonary gas exchange, age-related hypoxic shifts, arterial hypoxemia, tissue hypoxia and resistance to hypoxia are further reduced. However, the relationship between bronchial obstruction and resistance to hypoxia in elderly patients with COPD has not been studied.</w:t>
      </w:r>
    </w:p>
    <w:p w:rsidR="0044099C" w:rsidRPr="00C95026" w:rsidRDefault="0044099C" w:rsidP="0044099C">
      <w:pPr>
        <w:spacing w:after="120" w:line="276" w:lineRule="auto"/>
        <w:ind w:firstLine="709"/>
        <w:jc w:val="both"/>
        <w:rPr>
          <w:bCs/>
          <w:sz w:val="28"/>
          <w:szCs w:val="28"/>
          <w:lang w:val="en-US"/>
        </w:rPr>
      </w:pPr>
      <w:proofErr w:type="gramStart"/>
      <w:r>
        <w:rPr>
          <w:b/>
          <w:sz w:val="28"/>
          <w:szCs w:val="28"/>
          <w:lang w:val="en-US"/>
        </w:rPr>
        <w:t>Objective</w:t>
      </w:r>
      <w:r w:rsidRPr="00C95026">
        <w:rPr>
          <w:b/>
          <w:sz w:val="28"/>
          <w:szCs w:val="28"/>
          <w:lang w:val="en-US"/>
        </w:rPr>
        <w:t>.</w:t>
      </w:r>
      <w:proofErr w:type="gramEnd"/>
      <w:r w:rsidRPr="00C95026">
        <w:rPr>
          <w:bCs/>
          <w:sz w:val="28"/>
          <w:szCs w:val="28"/>
          <w:lang w:val="en-US"/>
        </w:rPr>
        <w:t xml:space="preserve"> </w:t>
      </w:r>
      <w:proofErr w:type="gramStart"/>
      <w:r w:rsidRPr="00C95026">
        <w:rPr>
          <w:bCs/>
          <w:sz w:val="28"/>
          <w:szCs w:val="28"/>
          <w:lang w:val="en-US"/>
        </w:rPr>
        <w:t>To identify the relationship between bronchial patency and resistance to hypoxia in elderly patients with COPD.</w:t>
      </w:r>
      <w:proofErr w:type="gramEnd"/>
    </w:p>
    <w:p w:rsidR="0044099C" w:rsidRPr="0073439C" w:rsidRDefault="0044099C" w:rsidP="0044099C">
      <w:pPr>
        <w:spacing w:after="120" w:line="276" w:lineRule="auto"/>
        <w:ind w:firstLine="709"/>
        <w:jc w:val="both"/>
        <w:rPr>
          <w:bCs/>
          <w:spacing w:val="-4"/>
          <w:sz w:val="28"/>
          <w:szCs w:val="28"/>
          <w:lang w:val="en-US"/>
        </w:rPr>
      </w:pPr>
      <w:proofErr w:type="gramStart"/>
      <w:r w:rsidRPr="0073439C">
        <w:rPr>
          <w:b/>
          <w:spacing w:val="-4"/>
          <w:sz w:val="28"/>
          <w:szCs w:val="28"/>
          <w:lang w:val="en-US"/>
        </w:rPr>
        <w:t>Materials and methods.</w:t>
      </w:r>
      <w:proofErr w:type="gramEnd"/>
      <w:r w:rsidRPr="0073439C">
        <w:rPr>
          <w:bCs/>
          <w:spacing w:val="-4"/>
          <w:sz w:val="28"/>
          <w:szCs w:val="28"/>
          <w:lang w:val="en-US"/>
        </w:rPr>
        <w:t xml:space="preserve"> The study included 30 patients with COPD in the elderly (60-74 years), I-II stage, without exacerbation, with a disease duration of 7 to 26 years, risk groups A and B. The type and severity of pulmonary ventilation were assessed indicators of </w:t>
      </w:r>
      <w:proofErr w:type="spellStart"/>
      <w:r w:rsidRPr="0073439C">
        <w:rPr>
          <w:bCs/>
          <w:spacing w:val="-4"/>
          <w:sz w:val="28"/>
          <w:szCs w:val="28"/>
          <w:lang w:val="en-US"/>
        </w:rPr>
        <w:t>spirometry</w:t>
      </w:r>
      <w:proofErr w:type="spellEnd"/>
      <w:r w:rsidRPr="0073439C">
        <w:rPr>
          <w:bCs/>
          <w:spacing w:val="-4"/>
          <w:sz w:val="28"/>
          <w:szCs w:val="28"/>
          <w:lang w:val="en-US"/>
        </w:rPr>
        <w:t xml:space="preserve"> and the curve “flow/volume” of forced exhalation on the device </w:t>
      </w:r>
      <w:proofErr w:type="spellStart"/>
      <w:r w:rsidRPr="0073439C">
        <w:rPr>
          <w:bCs/>
          <w:spacing w:val="-4"/>
          <w:sz w:val="28"/>
          <w:szCs w:val="28"/>
          <w:lang w:val="en-US"/>
        </w:rPr>
        <w:t>Spirobank</w:t>
      </w:r>
      <w:proofErr w:type="spellEnd"/>
      <w:r w:rsidRPr="0073439C">
        <w:rPr>
          <w:bCs/>
          <w:spacing w:val="-4"/>
          <w:sz w:val="28"/>
          <w:szCs w:val="28"/>
          <w:lang w:val="en-US"/>
        </w:rPr>
        <w:t xml:space="preserve"> (Mir, Italy). To determine the body’s resistance to hypoxia, a hypoxic test with 12 % oxygen content was performed for 12 min with monitoring of blood saturation using the automated software and hardware complex </w:t>
      </w:r>
      <w:proofErr w:type="spellStart"/>
      <w:r w:rsidRPr="0073439C">
        <w:rPr>
          <w:bCs/>
          <w:spacing w:val="-4"/>
          <w:sz w:val="28"/>
          <w:szCs w:val="28"/>
          <w:lang w:val="en-US"/>
        </w:rPr>
        <w:t>Hypotron</w:t>
      </w:r>
      <w:proofErr w:type="spellEnd"/>
      <w:r w:rsidRPr="0073439C">
        <w:rPr>
          <w:bCs/>
          <w:spacing w:val="-4"/>
          <w:sz w:val="28"/>
          <w:szCs w:val="28"/>
          <w:lang w:val="en-US"/>
        </w:rPr>
        <w:t xml:space="preserve"> (Ukraine).</w:t>
      </w:r>
    </w:p>
    <w:p w:rsidR="0044099C" w:rsidRPr="00BB08A6" w:rsidRDefault="0044099C" w:rsidP="0044099C">
      <w:pPr>
        <w:spacing w:after="120" w:line="276" w:lineRule="auto"/>
        <w:ind w:firstLine="709"/>
        <w:jc w:val="both"/>
        <w:rPr>
          <w:bCs/>
          <w:spacing w:val="-4"/>
          <w:sz w:val="28"/>
          <w:szCs w:val="28"/>
          <w:lang w:val="en-US"/>
        </w:rPr>
      </w:pPr>
      <w:proofErr w:type="gramStart"/>
      <w:r w:rsidRPr="00BB08A6">
        <w:rPr>
          <w:b/>
          <w:spacing w:val="-4"/>
          <w:sz w:val="28"/>
          <w:szCs w:val="28"/>
          <w:lang w:val="en-US"/>
        </w:rPr>
        <w:t>Results.</w:t>
      </w:r>
      <w:proofErr w:type="gramEnd"/>
      <w:r w:rsidRPr="00BB08A6">
        <w:rPr>
          <w:bCs/>
          <w:spacing w:val="-4"/>
          <w:sz w:val="28"/>
          <w:szCs w:val="28"/>
          <w:lang w:val="en-US"/>
        </w:rPr>
        <w:t xml:space="preserve"> </w:t>
      </w:r>
      <w:proofErr w:type="spellStart"/>
      <w:r w:rsidRPr="00BB08A6">
        <w:rPr>
          <w:bCs/>
          <w:spacing w:val="-4"/>
          <w:sz w:val="28"/>
          <w:szCs w:val="28"/>
          <w:lang w:val="en-US"/>
        </w:rPr>
        <w:t>Researches</w:t>
      </w:r>
      <w:proofErr w:type="spellEnd"/>
      <w:r w:rsidRPr="00BB08A6">
        <w:rPr>
          <w:bCs/>
          <w:spacing w:val="-4"/>
          <w:sz w:val="28"/>
          <w:szCs w:val="28"/>
          <w:lang w:val="en-US"/>
        </w:rPr>
        <w:t xml:space="preserve"> have shown that under hypoxic exposure, blood saturation in elderly patients with COPD is reduced, on average, by 18.23</w:t>
      </w:r>
      <w:r w:rsidRPr="00BB08A6">
        <w:rPr>
          <w:spacing w:val="-4"/>
          <w:sz w:val="28"/>
          <w:szCs w:val="28"/>
          <w:lang w:val="en-US"/>
        </w:rPr>
        <w:sym w:font="Symbol" w:char="F0B1"/>
      </w:r>
      <w:r w:rsidRPr="00BB08A6">
        <w:rPr>
          <w:bCs/>
          <w:spacing w:val="-4"/>
          <w:sz w:val="28"/>
          <w:szCs w:val="28"/>
          <w:lang w:val="en-US"/>
        </w:rPr>
        <w:t>0.26 %. This decrease in blood saturation can be regarded as severe arterial hypoxemia. At the same time, in elderly patients with COPD with an increase in bronchial patency disorders, the saturation shifts in hypoxia, on average, also increase. There was a significant correlation (r=0.50; p=0.006) of blood saturation shifts in hypoxia with bronchial obstruction.</w:t>
      </w:r>
    </w:p>
    <w:p w:rsidR="0044099C" w:rsidRPr="00C95026" w:rsidRDefault="0044099C" w:rsidP="0044099C">
      <w:pPr>
        <w:spacing w:after="120" w:line="276" w:lineRule="auto"/>
        <w:ind w:firstLine="709"/>
        <w:jc w:val="both"/>
        <w:rPr>
          <w:bCs/>
          <w:sz w:val="28"/>
          <w:szCs w:val="28"/>
          <w:lang w:val="en-US"/>
        </w:rPr>
      </w:pPr>
      <w:proofErr w:type="gramStart"/>
      <w:r w:rsidRPr="00C95026">
        <w:rPr>
          <w:b/>
          <w:sz w:val="28"/>
          <w:szCs w:val="28"/>
          <w:lang w:val="en-US"/>
        </w:rPr>
        <w:t>Conclusion</w:t>
      </w:r>
      <w:r>
        <w:rPr>
          <w:b/>
          <w:sz w:val="28"/>
          <w:szCs w:val="28"/>
          <w:lang w:val="en-US"/>
        </w:rPr>
        <w:t>s</w:t>
      </w:r>
      <w:r w:rsidRPr="00C95026">
        <w:rPr>
          <w:b/>
          <w:sz w:val="28"/>
          <w:szCs w:val="28"/>
          <w:lang w:val="en-US"/>
        </w:rPr>
        <w:t>.</w:t>
      </w:r>
      <w:proofErr w:type="gramEnd"/>
      <w:r w:rsidRPr="00C95026">
        <w:rPr>
          <w:bCs/>
          <w:sz w:val="28"/>
          <w:szCs w:val="28"/>
          <w:lang w:val="en-US"/>
        </w:rPr>
        <w:t xml:space="preserve"> In elderly patients with COPD, resistance to hypoxia is determined by bronchial obstruction.</w:t>
      </w:r>
    </w:p>
    <w:p w:rsidR="0044099C" w:rsidRDefault="0044099C" w:rsidP="0044099C">
      <w:pPr>
        <w:spacing w:after="120" w:line="276" w:lineRule="auto"/>
        <w:ind w:firstLine="709"/>
        <w:jc w:val="both"/>
        <w:rPr>
          <w:bCs/>
          <w:sz w:val="28"/>
          <w:szCs w:val="28"/>
          <w:lang w:val="en-US"/>
        </w:rPr>
      </w:pPr>
      <w:r w:rsidRPr="00C95026">
        <w:rPr>
          <w:b/>
          <w:sz w:val="28"/>
          <w:szCs w:val="28"/>
          <w:lang w:val="en-US"/>
        </w:rPr>
        <w:t>Key</w:t>
      </w:r>
      <w:r>
        <w:rPr>
          <w:b/>
          <w:sz w:val="28"/>
          <w:szCs w:val="28"/>
          <w:lang w:val="en-US"/>
        </w:rPr>
        <w:t xml:space="preserve"> </w:t>
      </w:r>
      <w:r w:rsidRPr="00C95026">
        <w:rPr>
          <w:b/>
          <w:sz w:val="28"/>
          <w:szCs w:val="28"/>
          <w:lang w:val="en-US"/>
        </w:rPr>
        <w:t>words</w:t>
      </w:r>
      <w:r>
        <w:rPr>
          <w:b/>
          <w:sz w:val="28"/>
          <w:szCs w:val="28"/>
          <w:lang w:val="en-US"/>
        </w:rPr>
        <w:t>:</w:t>
      </w:r>
      <w:r w:rsidRPr="00C95026">
        <w:rPr>
          <w:bCs/>
          <w:sz w:val="28"/>
          <w:szCs w:val="28"/>
          <w:lang w:val="en-US"/>
        </w:rPr>
        <w:t xml:space="preserve"> COPD, old age, resistance to hypoxia, bronchial obstruction.</w:t>
      </w:r>
    </w:p>
    <w:p w:rsidR="0044099C" w:rsidRDefault="0044099C" w:rsidP="0044099C">
      <w:pPr>
        <w:spacing w:after="120" w:line="276" w:lineRule="auto"/>
        <w:ind w:firstLine="0"/>
        <w:jc w:val="both"/>
      </w:pPr>
      <w:r>
        <w:rPr>
          <w:i/>
          <w:color w:val="000000"/>
          <w:sz w:val="28"/>
          <w:szCs w:val="28"/>
        </w:rPr>
        <w:lastRenderedPageBreak/>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44099C" w:rsidRPr="0044099C" w:rsidRDefault="0044099C" w:rsidP="0044099C">
      <w:pPr>
        <w:spacing w:after="120" w:line="276" w:lineRule="auto"/>
        <w:ind w:firstLine="709"/>
        <w:jc w:val="both"/>
        <w:rPr>
          <w:bCs/>
          <w:sz w:val="28"/>
          <w:szCs w:val="28"/>
        </w:rPr>
      </w:pPr>
    </w:p>
    <w:p w:rsidR="00491A4F" w:rsidRPr="0044099C" w:rsidRDefault="00491A4F">
      <w:pPr>
        <w:rPr>
          <w:lang w:val="en-US"/>
        </w:rPr>
      </w:pPr>
    </w:p>
    <w:sectPr w:rsidR="00491A4F" w:rsidRPr="0044099C" w:rsidSect="00491A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099C"/>
    <w:rsid w:val="0044099C"/>
    <w:rsid w:val="00491A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9C"/>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uiPriority w:val="99"/>
    <w:rsid w:val="0044099C"/>
    <w:rPr>
      <w:rFonts w:cs="Times New Roman"/>
    </w:rPr>
  </w:style>
  <w:style w:type="character" w:styleId="a3">
    <w:name w:val="Hyperlink"/>
    <w:uiPriority w:val="99"/>
    <w:rsid w:val="0044099C"/>
    <w:rPr>
      <w:rFonts w:cs="Times New Roman"/>
      <w:color w:val="0000FF"/>
      <w:u w:val="single"/>
    </w:rPr>
  </w:style>
  <w:style w:type="character" w:customStyle="1" w:styleId="tlid-translation">
    <w:name w:val="tlid-translation"/>
    <w:uiPriority w:val="99"/>
    <w:rsid w:val="0044099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3347</Words>
  <Characters>1908</Characters>
  <Application>Microsoft Office Word</Application>
  <DocSecurity>0</DocSecurity>
  <Lines>15</Lines>
  <Paragraphs>10</Paragraphs>
  <ScaleCrop>false</ScaleCrop>
  <Company>diakov.net</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2020-11-07T15:32:00Z</dcterms:created>
  <dcterms:modified xsi:type="dcterms:W3CDTF">2020-11-07T15:33:00Z</dcterms:modified>
</cp:coreProperties>
</file>