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0" w:rsidRPr="00E86C25" w:rsidRDefault="00CA65D0" w:rsidP="00CA65D0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Особливості протимікробної терапії вірусно-бактеріальних пневмоній у пацієнтів із </w:t>
      </w:r>
      <w:proofErr w:type="spellStart"/>
      <w:r w:rsidRPr="00E86C25">
        <w:rPr>
          <w:b/>
          <w:sz w:val="32"/>
          <w:szCs w:val="28"/>
        </w:rPr>
        <w:t>коронавірусною</w:t>
      </w:r>
      <w:proofErr w:type="spellEnd"/>
      <w:r w:rsidRPr="00E86C25">
        <w:rPr>
          <w:b/>
          <w:sz w:val="32"/>
          <w:szCs w:val="28"/>
        </w:rPr>
        <w:t xml:space="preserve"> хворобою</w:t>
      </w:r>
    </w:p>
    <w:p w:rsidR="00CA65D0" w:rsidRPr="00E86C25" w:rsidRDefault="00CA65D0" w:rsidP="00CA65D0">
      <w:pPr>
        <w:spacing w:after="120" w:line="276" w:lineRule="auto"/>
        <w:ind w:firstLine="0"/>
        <w:jc w:val="both"/>
        <w:rPr>
          <w:b/>
          <w:sz w:val="26"/>
          <w:szCs w:val="26"/>
        </w:rPr>
      </w:pPr>
      <w:r w:rsidRPr="00E86C25">
        <w:rPr>
          <w:b/>
          <w:sz w:val="26"/>
          <w:szCs w:val="26"/>
        </w:rPr>
        <w:t>Нестеренко О.М.</w:t>
      </w:r>
    </w:p>
    <w:p w:rsidR="00CA65D0" w:rsidRPr="00ED2714" w:rsidRDefault="00CA65D0" w:rsidP="00CA65D0">
      <w:pPr>
        <w:spacing w:after="120" w:line="276" w:lineRule="auto"/>
        <w:ind w:firstLine="0"/>
        <w:jc w:val="both"/>
        <w:rPr>
          <w:spacing w:val="-4"/>
          <w:sz w:val="26"/>
          <w:szCs w:val="26"/>
        </w:rPr>
      </w:pPr>
      <w:r w:rsidRPr="00ED2714">
        <w:rPr>
          <w:spacing w:val="-4"/>
          <w:sz w:val="26"/>
          <w:szCs w:val="26"/>
        </w:rPr>
        <w:t>Донецький національний медичний університет МОЗ України, м. Краматорськ, Україна</w:t>
      </w:r>
    </w:p>
    <w:p w:rsidR="00CA65D0" w:rsidRPr="00C95026" w:rsidRDefault="00CA65D0" w:rsidP="00CA65D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Мета.</w:t>
      </w:r>
      <w:r w:rsidRPr="00C95026">
        <w:rPr>
          <w:sz w:val="28"/>
          <w:szCs w:val="28"/>
        </w:rPr>
        <w:t xml:space="preserve"> Поліпшення результатів лікування пацієнтів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з </w:t>
      </w:r>
      <w:proofErr w:type="spellStart"/>
      <w:r w:rsidRPr="00C95026">
        <w:rPr>
          <w:sz w:val="28"/>
          <w:szCs w:val="28"/>
        </w:rPr>
        <w:t>коронавірусною</w:t>
      </w:r>
      <w:proofErr w:type="spellEnd"/>
      <w:r w:rsidRPr="00C95026">
        <w:rPr>
          <w:sz w:val="28"/>
          <w:szCs w:val="28"/>
        </w:rPr>
        <w:t xml:space="preserve"> хворобою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 w:rsidRPr="00C95026">
        <w:rPr>
          <w:sz w:val="28"/>
          <w:szCs w:val="28"/>
        </w:rPr>
        <w:t>, ускладнен</w:t>
      </w:r>
      <w:r>
        <w:rPr>
          <w:sz w:val="28"/>
          <w:szCs w:val="28"/>
        </w:rPr>
        <w:t>ою</w:t>
      </w:r>
      <w:r w:rsidRPr="00C95026">
        <w:rPr>
          <w:sz w:val="28"/>
          <w:szCs w:val="28"/>
        </w:rPr>
        <w:t xml:space="preserve"> розвитком тяжких вірусно-бактеріальних пневмоній, за рахунок оптимізації їх діагностики та протимікробної терапії.</w:t>
      </w:r>
    </w:p>
    <w:p w:rsidR="00CA65D0" w:rsidRPr="00C95026" w:rsidRDefault="00CA65D0" w:rsidP="00CA65D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Матеріал</w:t>
      </w:r>
      <w:r>
        <w:rPr>
          <w:b/>
          <w:sz w:val="28"/>
          <w:szCs w:val="28"/>
        </w:rPr>
        <w:t>и</w:t>
      </w:r>
      <w:r w:rsidRPr="00C95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  <w:r w:rsidRPr="00C95026">
        <w:rPr>
          <w:b/>
          <w:sz w:val="28"/>
          <w:szCs w:val="28"/>
        </w:rPr>
        <w:t xml:space="preserve"> методи.</w:t>
      </w:r>
      <w:r w:rsidRPr="00C95026">
        <w:rPr>
          <w:sz w:val="28"/>
          <w:szCs w:val="28"/>
        </w:rPr>
        <w:t xml:space="preserve"> Виконано ретроспективній аналіз результатів лікування 19 хворих на вірусно-бактеріальні пневмонії, </w:t>
      </w:r>
      <w:r>
        <w:rPr>
          <w:sz w:val="28"/>
          <w:szCs w:val="28"/>
        </w:rPr>
        <w:t>що</w:t>
      </w:r>
      <w:r w:rsidRPr="00C95026">
        <w:rPr>
          <w:sz w:val="28"/>
          <w:szCs w:val="28"/>
        </w:rPr>
        <w:t xml:space="preserve"> ускладнили перебіг COVID-19</w:t>
      </w:r>
      <w:r>
        <w:rPr>
          <w:sz w:val="28"/>
          <w:szCs w:val="28"/>
        </w:rPr>
        <w:t>,</w:t>
      </w:r>
      <w:r w:rsidRPr="00C95026">
        <w:rPr>
          <w:sz w:val="28"/>
          <w:szCs w:val="28"/>
        </w:rPr>
        <w:t xml:space="preserve"> під час пандемії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Донецькій області за період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з 01.04.2020 по 31.07.2020. Проведено експертну оцінку методів діагностики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тактики протимікробної терапії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пацієнтів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з вірусно-бактеріальними пневмоніями, </w:t>
      </w:r>
      <w:r>
        <w:rPr>
          <w:sz w:val="28"/>
          <w:szCs w:val="28"/>
        </w:rPr>
        <w:t>що</w:t>
      </w:r>
      <w:r w:rsidRPr="00C95026">
        <w:rPr>
          <w:sz w:val="28"/>
          <w:szCs w:val="28"/>
        </w:rPr>
        <w:t xml:space="preserve"> ускладнили перебіг COVID-19. Діагностику </w:t>
      </w:r>
      <w:r>
        <w:rPr>
          <w:sz w:val="28"/>
          <w:szCs w:val="28"/>
        </w:rPr>
        <w:t>здійснювали</w:t>
      </w:r>
      <w:r w:rsidRPr="00C95026">
        <w:rPr>
          <w:sz w:val="28"/>
          <w:szCs w:val="28"/>
        </w:rPr>
        <w:t xml:space="preserve"> методами </w:t>
      </w:r>
      <w:proofErr w:type="spellStart"/>
      <w:r>
        <w:rPr>
          <w:sz w:val="28"/>
          <w:szCs w:val="28"/>
        </w:rPr>
        <w:t>полімеразно-ланцюгової</w:t>
      </w:r>
      <w:proofErr w:type="spellEnd"/>
      <w:r>
        <w:rPr>
          <w:sz w:val="28"/>
          <w:szCs w:val="28"/>
        </w:rPr>
        <w:t xml:space="preserve"> реакції (</w:t>
      </w:r>
      <w:r w:rsidRPr="00C95026">
        <w:rPr>
          <w:sz w:val="28"/>
          <w:szCs w:val="28"/>
        </w:rPr>
        <w:t>ПЛР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імуноферментного</w:t>
      </w:r>
      <w:proofErr w:type="spellEnd"/>
      <w:r>
        <w:rPr>
          <w:sz w:val="28"/>
          <w:szCs w:val="28"/>
        </w:rPr>
        <w:t xml:space="preserve"> аналізу</w:t>
      </w:r>
      <w:r w:rsidRPr="00C95026">
        <w:rPr>
          <w:sz w:val="28"/>
          <w:szCs w:val="28"/>
        </w:rPr>
        <w:t xml:space="preserve">, ступінь </w:t>
      </w:r>
      <w:proofErr w:type="spellStart"/>
      <w:r w:rsidRPr="00C95026">
        <w:rPr>
          <w:sz w:val="28"/>
          <w:szCs w:val="28"/>
        </w:rPr>
        <w:t>вираженості</w:t>
      </w:r>
      <w:proofErr w:type="spellEnd"/>
      <w:r w:rsidRPr="00C95026">
        <w:rPr>
          <w:sz w:val="28"/>
          <w:szCs w:val="28"/>
        </w:rPr>
        <w:t xml:space="preserve"> бактеріального компонент</w:t>
      </w:r>
      <w:r>
        <w:rPr>
          <w:sz w:val="28"/>
          <w:szCs w:val="28"/>
        </w:rPr>
        <w:t>а</w:t>
      </w:r>
      <w:r w:rsidRPr="00C95026">
        <w:rPr>
          <w:sz w:val="28"/>
          <w:szCs w:val="28"/>
        </w:rPr>
        <w:t xml:space="preserve"> запалення </w:t>
      </w:r>
      <w:r>
        <w:rPr>
          <w:sz w:val="28"/>
          <w:szCs w:val="28"/>
        </w:rPr>
        <w:t>встановлювали</w:t>
      </w:r>
      <w:r w:rsidRPr="00C95026">
        <w:rPr>
          <w:sz w:val="28"/>
          <w:szCs w:val="28"/>
        </w:rPr>
        <w:t xml:space="preserve"> шляхом визначення рівня </w:t>
      </w:r>
      <w:proofErr w:type="spellStart"/>
      <w:r w:rsidRPr="00C95026">
        <w:rPr>
          <w:sz w:val="28"/>
          <w:szCs w:val="28"/>
        </w:rPr>
        <w:t>прокальцитоніну</w:t>
      </w:r>
      <w:proofErr w:type="spellEnd"/>
      <w:r w:rsidRPr="00C95026">
        <w:rPr>
          <w:sz w:val="28"/>
          <w:szCs w:val="28"/>
        </w:rPr>
        <w:t xml:space="preserve"> крові; бактеріологічні дослідження крові</w:t>
      </w:r>
      <w:r>
        <w:rPr>
          <w:sz w:val="28"/>
          <w:szCs w:val="28"/>
        </w:rPr>
        <w:t xml:space="preserve"> та</w:t>
      </w:r>
      <w:r w:rsidRPr="00C95026">
        <w:rPr>
          <w:sz w:val="28"/>
          <w:szCs w:val="28"/>
        </w:rPr>
        <w:t xml:space="preserve"> мокротиння, що відхаркували пацієнти</w:t>
      </w:r>
      <w:r>
        <w:rPr>
          <w:sz w:val="28"/>
          <w:szCs w:val="28"/>
        </w:rPr>
        <w:t>,</w:t>
      </w:r>
      <w:r w:rsidRPr="00C95026">
        <w:rPr>
          <w:sz w:val="28"/>
          <w:szCs w:val="28"/>
        </w:rPr>
        <w:t xml:space="preserve"> проводили диско-дифузійним методом. Ступінь інтоксикації, </w:t>
      </w:r>
      <w:proofErr w:type="spellStart"/>
      <w:r w:rsidRPr="00C95026">
        <w:rPr>
          <w:sz w:val="28"/>
          <w:szCs w:val="28"/>
        </w:rPr>
        <w:t>імуносупресії</w:t>
      </w:r>
      <w:proofErr w:type="spellEnd"/>
      <w:r w:rsidRPr="00C95026">
        <w:rPr>
          <w:sz w:val="28"/>
          <w:szCs w:val="28"/>
        </w:rPr>
        <w:t xml:space="preserve">, порушення гемостазу, метаболічного статусу, </w:t>
      </w:r>
      <w:proofErr w:type="spellStart"/>
      <w:r w:rsidRPr="00C95026">
        <w:rPr>
          <w:sz w:val="28"/>
          <w:szCs w:val="28"/>
        </w:rPr>
        <w:t>вираженість</w:t>
      </w:r>
      <w:proofErr w:type="spellEnd"/>
      <w:r w:rsidRPr="00C95026">
        <w:rPr>
          <w:sz w:val="28"/>
          <w:szCs w:val="28"/>
        </w:rPr>
        <w:t xml:space="preserve"> системного запалення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ураження органів </w:t>
      </w:r>
      <w:r>
        <w:rPr>
          <w:sz w:val="28"/>
          <w:szCs w:val="28"/>
        </w:rPr>
        <w:t>визначали</w:t>
      </w:r>
      <w:r w:rsidRPr="00C95026">
        <w:rPr>
          <w:sz w:val="28"/>
          <w:szCs w:val="28"/>
        </w:rPr>
        <w:t xml:space="preserve"> шляхом дослідження </w:t>
      </w:r>
      <w:proofErr w:type="spellStart"/>
      <w:r w:rsidRPr="00C95026">
        <w:rPr>
          <w:sz w:val="28"/>
          <w:szCs w:val="28"/>
        </w:rPr>
        <w:t>патогномонічних</w:t>
      </w:r>
      <w:proofErr w:type="spellEnd"/>
      <w:r w:rsidRPr="00C95026">
        <w:rPr>
          <w:sz w:val="28"/>
          <w:szCs w:val="28"/>
        </w:rPr>
        <w:t xml:space="preserve"> маркерів для кожної зі згаданих ланок </w:t>
      </w:r>
      <w:r>
        <w:rPr>
          <w:sz w:val="28"/>
          <w:szCs w:val="28"/>
        </w:rPr>
        <w:t>–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тропоніну</w:t>
      </w:r>
      <w:proofErr w:type="spellEnd"/>
      <w:r w:rsidRPr="00C95026">
        <w:rPr>
          <w:sz w:val="28"/>
          <w:szCs w:val="28"/>
        </w:rPr>
        <w:t xml:space="preserve">, </w:t>
      </w:r>
      <w:proofErr w:type="spellStart"/>
      <w:r w:rsidRPr="00C95026">
        <w:rPr>
          <w:sz w:val="28"/>
          <w:szCs w:val="28"/>
        </w:rPr>
        <w:t>трансаміназ</w:t>
      </w:r>
      <w:proofErr w:type="spellEnd"/>
      <w:r w:rsidRPr="00C95026">
        <w:rPr>
          <w:sz w:val="28"/>
          <w:szCs w:val="28"/>
        </w:rPr>
        <w:t xml:space="preserve">, </w:t>
      </w:r>
      <w:proofErr w:type="spellStart"/>
      <w:r w:rsidRPr="00C95026">
        <w:rPr>
          <w:sz w:val="28"/>
          <w:szCs w:val="28"/>
        </w:rPr>
        <w:t>креатиніну</w:t>
      </w:r>
      <w:proofErr w:type="spellEnd"/>
      <w:r w:rsidRPr="00C95026">
        <w:rPr>
          <w:sz w:val="28"/>
          <w:szCs w:val="28"/>
        </w:rPr>
        <w:t xml:space="preserve">, С-реактивного протеїну (кількісно); </w:t>
      </w:r>
      <w:proofErr w:type="spellStart"/>
      <w:r w:rsidRPr="00C95026">
        <w:rPr>
          <w:sz w:val="28"/>
          <w:szCs w:val="28"/>
        </w:rPr>
        <w:t>коагулограми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5026">
        <w:rPr>
          <w:sz w:val="28"/>
          <w:szCs w:val="28"/>
        </w:rPr>
        <w:t xml:space="preserve"> фібриногену, </w:t>
      </w:r>
      <w:r>
        <w:rPr>
          <w:sz w:val="28"/>
          <w:szCs w:val="28"/>
          <w:lang w:val="en-US"/>
        </w:rPr>
        <w:t>D</w:t>
      </w:r>
      <w:proofErr w:type="spellStart"/>
      <w:r w:rsidRPr="00C95026">
        <w:rPr>
          <w:sz w:val="28"/>
          <w:szCs w:val="28"/>
        </w:rPr>
        <w:t>-димеру</w:t>
      </w:r>
      <w:proofErr w:type="spellEnd"/>
      <w:r w:rsidRPr="00C95026">
        <w:rPr>
          <w:sz w:val="28"/>
          <w:szCs w:val="28"/>
        </w:rPr>
        <w:t xml:space="preserve">, розчинних </w:t>
      </w:r>
      <w:proofErr w:type="spellStart"/>
      <w:r w:rsidRPr="00C95026">
        <w:rPr>
          <w:sz w:val="28"/>
          <w:szCs w:val="28"/>
        </w:rPr>
        <w:t>фібрин</w:t>
      </w:r>
      <w:r>
        <w:rPr>
          <w:sz w:val="28"/>
          <w:szCs w:val="28"/>
        </w:rPr>
        <w:t>о</w:t>
      </w:r>
      <w:r w:rsidRPr="00C95026">
        <w:rPr>
          <w:sz w:val="28"/>
          <w:szCs w:val="28"/>
        </w:rPr>
        <w:t>мономерних</w:t>
      </w:r>
      <w:proofErr w:type="spellEnd"/>
      <w:r w:rsidRPr="00C95026">
        <w:rPr>
          <w:sz w:val="28"/>
          <w:szCs w:val="28"/>
        </w:rPr>
        <w:t xml:space="preserve"> комплексів; клінічного аналізу крові з визначенням рівнів тромбоцитів, лейкоцитів, лімфоцитів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з розрахунком лейкоцитарного індексу інтоксикації та співвідношення </w:t>
      </w:r>
      <w:proofErr w:type="spellStart"/>
      <w:r w:rsidRPr="00C95026">
        <w:rPr>
          <w:sz w:val="28"/>
          <w:szCs w:val="28"/>
        </w:rPr>
        <w:t>нейтрофіли</w:t>
      </w:r>
      <w:proofErr w:type="spellEnd"/>
      <w:r w:rsidRPr="00C95026">
        <w:rPr>
          <w:sz w:val="28"/>
          <w:szCs w:val="28"/>
        </w:rPr>
        <w:t xml:space="preserve">/лімфоцити. </w:t>
      </w:r>
      <w:r>
        <w:rPr>
          <w:sz w:val="28"/>
          <w:szCs w:val="28"/>
        </w:rPr>
        <w:t>Здійснювали</w:t>
      </w:r>
      <w:r w:rsidRPr="00C95026">
        <w:rPr>
          <w:sz w:val="28"/>
          <w:szCs w:val="28"/>
        </w:rPr>
        <w:t xml:space="preserve"> перманентне візуальне спостереження за пацієнтами та динамічний моніторинг артеріального тиску, SpO</w:t>
      </w:r>
      <w:r w:rsidRPr="00C95026">
        <w:rPr>
          <w:sz w:val="28"/>
          <w:szCs w:val="28"/>
          <w:vertAlign w:val="subscript"/>
        </w:rPr>
        <w:t>2</w:t>
      </w:r>
      <w:r w:rsidRPr="00ED2714">
        <w:rPr>
          <w:sz w:val="28"/>
          <w:szCs w:val="28"/>
        </w:rPr>
        <w:t>,</w:t>
      </w:r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електрокардіограми (</w:t>
      </w:r>
      <w:r w:rsidRPr="00C95026">
        <w:rPr>
          <w:sz w:val="28"/>
          <w:szCs w:val="28"/>
        </w:rPr>
        <w:t>ЕКГ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, темпу діурезу. </w:t>
      </w:r>
      <w:proofErr w:type="spellStart"/>
      <w:r w:rsidRPr="00C95026">
        <w:rPr>
          <w:sz w:val="28"/>
          <w:szCs w:val="28"/>
        </w:rPr>
        <w:t>Сонографія</w:t>
      </w:r>
      <w:proofErr w:type="spellEnd"/>
      <w:r w:rsidRPr="00C95026">
        <w:rPr>
          <w:sz w:val="28"/>
          <w:szCs w:val="28"/>
        </w:rPr>
        <w:t>, рентгенографія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комп’ютерна томографія органів грудної порожнини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динаміці </w:t>
      </w:r>
      <w:r>
        <w:rPr>
          <w:sz w:val="28"/>
          <w:szCs w:val="28"/>
        </w:rPr>
        <w:t xml:space="preserve">– </w:t>
      </w:r>
      <w:r w:rsidRPr="00C95026">
        <w:rPr>
          <w:sz w:val="28"/>
          <w:szCs w:val="28"/>
        </w:rPr>
        <w:t>за потреби.</w:t>
      </w:r>
    </w:p>
    <w:p w:rsidR="00CA65D0" w:rsidRPr="00C95026" w:rsidRDefault="00CA65D0" w:rsidP="00CA65D0">
      <w:pPr>
        <w:spacing w:after="120" w:line="276" w:lineRule="auto"/>
        <w:ind w:firstLine="709"/>
        <w:jc w:val="both"/>
        <w:rPr>
          <w:color w:val="0D0D0D"/>
          <w:sz w:val="28"/>
          <w:szCs w:val="28"/>
          <w:lang w:eastAsia="uk-UA"/>
        </w:rPr>
      </w:pPr>
      <w:r w:rsidRPr="00C95026">
        <w:rPr>
          <w:b/>
          <w:color w:val="0D0D0D"/>
          <w:sz w:val="28"/>
          <w:szCs w:val="28"/>
          <w:lang w:eastAsia="uk-UA"/>
        </w:rPr>
        <w:t xml:space="preserve">Результати та </w:t>
      </w:r>
      <w:r>
        <w:rPr>
          <w:b/>
          <w:color w:val="0D0D0D"/>
          <w:sz w:val="28"/>
          <w:szCs w:val="28"/>
          <w:lang w:eastAsia="uk-UA"/>
        </w:rPr>
        <w:t xml:space="preserve">їх </w:t>
      </w:r>
      <w:r w:rsidRPr="00C95026">
        <w:rPr>
          <w:b/>
          <w:color w:val="0D0D0D"/>
          <w:sz w:val="28"/>
          <w:szCs w:val="28"/>
          <w:lang w:eastAsia="uk-UA"/>
        </w:rPr>
        <w:t>обговорення.</w:t>
      </w:r>
      <w:r>
        <w:rPr>
          <w:color w:val="0D0D0D"/>
          <w:sz w:val="28"/>
          <w:szCs w:val="28"/>
          <w:lang w:eastAsia="uk-UA"/>
        </w:rPr>
        <w:t xml:space="preserve"> </w:t>
      </w:r>
      <w:r w:rsidRPr="00C95026">
        <w:rPr>
          <w:color w:val="0D0D0D"/>
          <w:sz w:val="28"/>
          <w:szCs w:val="28"/>
          <w:lang w:eastAsia="uk-UA"/>
        </w:rPr>
        <w:t xml:space="preserve">Виявлені зміни функцій органів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 xml:space="preserve"> систем спонукали до корекції тактики лікування. До отримання результатів ПЛР на SARS-CoV-2 та без лабораторного підтвердження діагнозу COVID-19 цих 19 пацієнтів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 xml:space="preserve">з клінічною картиною тяжкої пневмонії та </w:t>
      </w:r>
      <w:r>
        <w:rPr>
          <w:color w:val="0D0D0D"/>
          <w:sz w:val="28"/>
          <w:szCs w:val="28"/>
          <w:lang w:eastAsia="uk-UA"/>
        </w:rPr>
        <w:t xml:space="preserve">гострим респіраторним </w:t>
      </w:r>
      <w:proofErr w:type="spellStart"/>
      <w:r>
        <w:rPr>
          <w:color w:val="0D0D0D"/>
          <w:sz w:val="28"/>
          <w:szCs w:val="28"/>
          <w:lang w:eastAsia="uk-UA"/>
        </w:rPr>
        <w:t>дистрес-синдромом</w:t>
      </w:r>
      <w:proofErr w:type="spellEnd"/>
      <w:r w:rsidRPr="00C95026">
        <w:rPr>
          <w:color w:val="0D0D0D"/>
          <w:sz w:val="28"/>
          <w:szCs w:val="28"/>
          <w:lang w:eastAsia="uk-UA"/>
        </w:rPr>
        <w:t xml:space="preserve"> лікували як пацієнтів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 xml:space="preserve">з гострою тяжкою </w:t>
      </w:r>
      <w:proofErr w:type="spellStart"/>
      <w:r w:rsidRPr="00C95026">
        <w:rPr>
          <w:color w:val="0D0D0D"/>
          <w:sz w:val="28"/>
          <w:szCs w:val="28"/>
          <w:lang w:eastAsia="uk-UA"/>
        </w:rPr>
        <w:t>позалікарняною</w:t>
      </w:r>
      <w:proofErr w:type="spellEnd"/>
      <w:r w:rsidRPr="00C95026">
        <w:rPr>
          <w:color w:val="0D0D0D"/>
          <w:sz w:val="28"/>
          <w:szCs w:val="28"/>
          <w:lang w:eastAsia="uk-UA"/>
        </w:rPr>
        <w:t xml:space="preserve"> пневмонією </w:t>
      </w:r>
      <w:r>
        <w:rPr>
          <w:color w:val="0D0D0D"/>
          <w:sz w:val="28"/>
          <w:szCs w:val="28"/>
          <w:lang w:eastAsia="uk-UA"/>
        </w:rPr>
        <w:t>відповідно до</w:t>
      </w:r>
      <w:r w:rsidRPr="00C95026">
        <w:rPr>
          <w:color w:val="0D0D0D"/>
          <w:sz w:val="28"/>
          <w:szCs w:val="28"/>
          <w:lang w:eastAsia="uk-UA"/>
        </w:rPr>
        <w:t xml:space="preserve"> Настанов</w:t>
      </w:r>
      <w:r>
        <w:rPr>
          <w:color w:val="0D0D0D"/>
          <w:sz w:val="28"/>
          <w:szCs w:val="28"/>
          <w:lang w:eastAsia="uk-UA"/>
        </w:rPr>
        <w:t>и</w:t>
      </w:r>
      <w:r w:rsidRPr="00C95026">
        <w:rPr>
          <w:color w:val="0D0D0D"/>
          <w:sz w:val="28"/>
          <w:szCs w:val="28"/>
          <w:lang w:eastAsia="uk-UA"/>
        </w:rPr>
        <w:t xml:space="preserve"> з ведення дорослих пацієнтів </w:t>
      </w:r>
      <w:r>
        <w:rPr>
          <w:color w:val="0D0D0D"/>
          <w:sz w:val="28"/>
          <w:szCs w:val="28"/>
          <w:lang w:eastAsia="uk-UA"/>
        </w:rPr>
        <w:t>у</w:t>
      </w:r>
      <w:r w:rsidRPr="00C95026">
        <w:rPr>
          <w:color w:val="0D0D0D"/>
          <w:sz w:val="28"/>
          <w:szCs w:val="28"/>
          <w:lang w:eastAsia="uk-UA"/>
        </w:rPr>
        <w:t xml:space="preserve"> критичному стані внаслідок COVID-19 «Руху за виживання при сепсисі» та протоколів МОЗ України. </w:t>
      </w:r>
      <w:r>
        <w:rPr>
          <w:color w:val="0D0D0D"/>
          <w:sz w:val="28"/>
          <w:szCs w:val="28"/>
          <w:lang w:eastAsia="uk-UA"/>
        </w:rPr>
        <w:t>У</w:t>
      </w:r>
      <w:r w:rsidRPr="00C95026">
        <w:rPr>
          <w:color w:val="0D0D0D"/>
          <w:sz w:val="28"/>
          <w:szCs w:val="28"/>
          <w:lang w:eastAsia="uk-UA"/>
        </w:rPr>
        <w:t xml:space="preserve">сі 19 пацієнтів віком </w:t>
      </w:r>
      <w:r>
        <w:rPr>
          <w:color w:val="0D0D0D"/>
          <w:sz w:val="28"/>
          <w:szCs w:val="28"/>
          <w:lang w:eastAsia="uk-UA"/>
        </w:rPr>
        <w:t xml:space="preserve">понад </w:t>
      </w:r>
      <w:r w:rsidRPr="00C95026">
        <w:rPr>
          <w:color w:val="0D0D0D"/>
          <w:sz w:val="28"/>
          <w:szCs w:val="28"/>
          <w:lang w:eastAsia="uk-UA"/>
        </w:rPr>
        <w:t>60</w:t>
      </w:r>
      <w:r>
        <w:rPr>
          <w:color w:val="0D0D0D"/>
          <w:sz w:val="28"/>
          <w:szCs w:val="28"/>
          <w:lang w:eastAsia="uk-UA"/>
        </w:rPr>
        <w:t xml:space="preserve"> років</w:t>
      </w:r>
      <w:r w:rsidRPr="00C95026">
        <w:rPr>
          <w:color w:val="0D0D0D"/>
          <w:sz w:val="28"/>
          <w:szCs w:val="28"/>
          <w:lang w:eastAsia="uk-UA"/>
        </w:rPr>
        <w:t xml:space="preserve"> були з групи високого ризику ускладнень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 xml:space="preserve"> несприятливого результату </w:t>
      </w:r>
      <w:r>
        <w:rPr>
          <w:color w:val="0D0D0D"/>
          <w:sz w:val="28"/>
          <w:szCs w:val="28"/>
          <w:lang w:eastAsia="uk-UA"/>
        </w:rPr>
        <w:t>через</w:t>
      </w:r>
      <w:r w:rsidRPr="00C95026">
        <w:rPr>
          <w:color w:val="0D0D0D"/>
          <w:sz w:val="28"/>
          <w:szCs w:val="28"/>
          <w:lang w:eastAsia="uk-UA"/>
        </w:rPr>
        <w:t xml:space="preserve"> імунодефіцит</w:t>
      </w:r>
      <w:r>
        <w:rPr>
          <w:color w:val="0D0D0D"/>
          <w:sz w:val="28"/>
          <w:szCs w:val="28"/>
          <w:lang w:eastAsia="uk-UA"/>
        </w:rPr>
        <w:t xml:space="preserve"> у</w:t>
      </w:r>
      <w:r w:rsidRPr="00C95026">
        <w:rPr>
          <w:color w:val="0D0D0D"/>
          <w:sz w:val="28"/>
          <w:szCs w:val="28"/>
          <w:lang w:eastAsia="uk-UA"/>
        </w:rPr>
        <w:t xml:space="preserve">наслідок таких супутніх </w:t>
      </w:r>
      <w:proofErr w:type="spellStart"/>
      <w:r w:rsidRPr="00C95026">
        <w:rPr>
          <w:color w:val="0D0D0D"/>
          <w:sz w:val="28"/>
          <w:szCs w:val="28"/>
          <w:lang w:eastAsia="uk-UA"/>
        </w:rPr>
        <w:t>патологій</w:t>
      </w:r>
      <w:proofErr w:type="spellEnd"/>
      <w:r w:rsidRPr="00C95026">
        <w:rPr>
          <w:color w:val="0D0D0D"/>
          <w:sz w:val="28"/>
          <w:szCs w:val="28"/>
          <w:lang w:eastAsia="uk-UA"/>
        </w:rPr>
        <w:t xml:space="preserve">: онкологічного захворювання (3), </w:t>
      </w:r>
      <w:r w:rsidRPr="00C95026">
        <w:rPr>
          <w:color w:val="0D0D0D"/>
          <w:sz w:val="28"/>
          <w:szCs w:val="28"/>
          <w:lang w:eastAsia="uk-UA"/>
        </w:rPr>
        <w:lastRenderedPageBreak/>
        <w:t xml:space="preserve">цукрового діабету (8), ожиріння (6), системних захворювань сполучної тканини з необхідністю постійного прийому </w:t>
      </w:r>
      <w:proofErr w:type="spellStart"/>
      <w:r w:rsidRPr="00C95026">
        <w:rPr>
          <w:color w:val="0D0D0D"/>
          <w:sz w:val="28"/>
          <w:szCs w:val="28"/>
          <w:lang w:eastAsia="uk-UA"/>
        </w:rPr>
        <w:t>глюкокортикоїдів</w:t>
      </w:r>
      <w:proofErr w:type="spellEnd"/>
      <w:r w:rsidRPr="00C95026">
        <w:rPr>
          <w:color w:val="0D0D0D"/>
          <w:sz w:val="28"/>
          <w:szCs w:val="28"/>
          <w:lang w:eastAsia="uk-UA"/>
        </w:rPr>
        <w:t>,</w:t>
      </w:r>
      <w:r>
        <w:rPr>
          <w:color w:val="0D0D0D"/>
          <w:sz w:val="28"/>
          <w:szCs w:val="28"/>
          <w:lang w:eastAsia="uk-UA"/>
        </w:rPr>
        <w:t xml:space="preserve"> </w:t>
      </w:r>
      <w:proofErr w:type="spellStart"/>
      <w:r>
        <w:rPr>
          <w:color w:val="0D0D0D"/>
          <w:sz w:val="28"/>
          <w:szCs w:val="28"/>
          <w:lang w:eastAsia="uk-UA"/>
        </w:rPr>
        <w:t>імунодепресантів</w:t>
      </w:r>
      <w:proofErr w:type="spellEnd"/>
      <w:r>
        <w:rPr>
          <w:color w:val="0D0D0D"/>
          <w:sz w:val="28"/>
          <w:szCs w:val="28"/>
          <w:lang w:eastAsia="uk-UA"/>
        </w:rPr>
        <w:t xml:space="preserve"> (2).</w:t>
      </w:r>
    </w:p>
    <w:p w:rsidR="00CA65D0" w:rsidRPr="00C95026" w:rsidRDefault="00CA65D0" w:rsidP="00CA65D0">
      <w:pPr>
        <w:spacing w:after="120" w:line="276" w:lineRule="auto"/>
        <w:ind w:firstLine="709"/>
        <w:jc w:val="both"/>
        <w:rPr>
          <w:rFonts w:eastAsia="MyriadPro-Regular"/>
          <w:bCs/>
          <w:color w:val="000000"/>
          <w:sz w:val="28"/>
          <w:szCs w:val="28"/>
        </w:rPr>
      </w:pPr>
      <w:r w:rsidRPr="00C95026">
        <w:rPr>
          <w:color w:val="0D0D0D"/>
          <w:sz w:val="28"/>
          <w:szCs w:val="28"/>
          <w:lang w:eastAsia="uk-UA"/>
        </w:rPr>
        <w:t xml:space="preserve">У зв’язку з ризиком інфікування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Pseudomonas</w:t>
      </w:r>
      <w:proofErr w:type="spellEnd"/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aeruginosa</w:t>
      </w:r>
      <w:proofErr w:type="spellEnd"/>
      <w:r w:rsidRPr="00C95026">
        <w:rPr>
          <w:color w:val="0D0D0D"/>
          <w:sz w:val="28"/>
          <w:szCs w:val="28"/>
          <w:lang w:eastAsia="uk-UA"/>
        </w:rPr>
        <w:t xml:space="preserve"> до призначення противірусних препаратів 9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 xml:space="preserve">з 19 пацієнтів отримували </w:t>
      </w:r>
      <w:proofErr w:type="spellStart"/>
      <w:r w:rsidRPr="00C95026">
        <w:rPr>
          <w:color w:val="0D0D0D"/>
          <w:sz w:val="28"/>
          <w:szCs w:val="28"/>
          <w:lang w:eastAsia="uk-UA"/>
        </w:rPr>
        <w:t>в</w:t>
      </w:r>
      <w:r>
        <w:rPr>
          <w:color w:val="0D0D0D"/>
          <w:sz w:val="28"/>
          <w:szCs w:val="28"/>
          <w:lang w:eastAsia="uk-UA"/>
        </w:rPr>
        <w:t>нутрішньо</w:t>
      </w:r>
      <w:r w:rsidRPr="00C95026">
        <w:rPr>
          <w:color w:val="0D0D0D"/>
          <w:sz w:val="28"/>
          <w:szCs w:val="28"/>
          <w:lang w:eastAsia="uk-UA"/>
        </w:rPr>
        <w:t>в</w:t>
      </w:r>
      <w:r>
        <w:rPr>
          <w:color w:val="0D0D0D"/>
          <w:sz w:val="28"/>
          <w:szCs w:val="28"/>
          <w:lang w:eastAsia="uk-UA"/>
        </w:rPr>
        <w:t>енно</w:t>
      </w:r>
      <w:proofErr w:type="spellEnd"/>
      <w:r w:rsidRPr="00C95026">
        <w:rPr>
          <w:color w:val="0D0D0D"/>
          <w:sz w:val="28"/>
          <w:szCs w:val="28"/>
          <w:lang w:eastAsia="uk-UA"/>
        </w:rPr>
        <w:t xml:space="preserve"> </w:t>
      </w:r>
      <w:proofErr w:type="spellStart"/>
      <w:r w:rsidRPr="00C95026">
        <w:rPr>
          <w:color w:val="0D0D0D"/>
          <w:sz w:val="28"/>
          <w:szCs w:val="28"/>
          <w:lang w:eastAsia="uk-UA"/>
        </w:rPr>
        <w:t>левофлоксацин</w:t>
      </w:r>
      <w:proofErr w:type="spellEnd"/>
      <w:r>
        <w:rPr>
          <w:color w:val="0D0D0D"/>
          <w:sz w:val="28"/>
          <w:szCs w:val="28"/>
          <w:lang w:eastAsia="uk-UA"/>
        </w:rPr>
        <w:t xml:space="preserve"> </w:t>
      </w:r>
      <w:r w:rsidRPr="00C95026">
        <w:rPr>
          <w:color w:val="0D0D0D"/>
          <w:sz w:val="28"/>
          <w:szCs w:val="28"/>
          <w:lang w:eastAsia="uk-UA"/>
        </w:rPr>
        <w:t>750 мг 1 раз на добу протягом 5 д</w:t>
      </w:r>
      <w:r>
        <w:rPr>
          <w:color w:val="0D0D0D"/>
          <w:sz w:val="28"/>
          <w:szCs w:val="28"/>
          <w:lang w:eastAsia="uk-UA"/>
        </w:rPr>
        <w:t>нів</w:t>
      </w:r>
      <w:r w:rsidRPr="00C95026">
        <w:rPr>
          <w:color w:val="0D0D0D"/>
          <w:sz w:val="28"/>
          <w:szCs w:val="28"/>
          <w:lang w:eastAsia="uk-UA"/>
        </w:rPr>
        <w:t xml:space="preserve"> у комбінації з </w:t>
      </w:r>
      <w:proofErr w:type="spellStart"/>
      <w:r w:rsidRPr="00C95026">
        <w:rPr>
          <w:color w:val="0D0D0D"/>
          <w:sz w:val="28"/>
          <w:szCs w:val="28"/>
          <w:lang w:eastAsia="uk-UA"/>
        </w:rPr>
        <w:t>цефоперазон</w:t>
      </w:r>
      <w:r>
        <w:rPr>
          <w:color w:val="0D0D0D"/>
          <w:sz w:val="28"/>
          <w:szCs w:val="28"/>
          <w:lang w:eastAsia="uk-UA"/>
        </w:rPr>
        <w:t>ом</w:t>
      </w:r>
      <w:proofErr w:type="spellEnd"/>
      <w:r w:rsidRPr="00C95026">
        <w:rPr>
          <w:color w:val="0D0D0D"/>
          <w:sz w:val="28"/>
          <w:szCs w:val="28"/>
          <w:lang w:eastAsia="uk-UA"/>
        </w:rPr>
        <w:t>/</w:t>
      </w:r>
      <w:proofErr w:type="spellStart"/>
      <w:r w:rsidRPr="00C95026">
        <w:rPr>
          <w:color w:val="0D0D0D"/>
          <w:sz w:val="28"/>
          <w:szCs w:val="28"/>
          <w:lang w:eastAsia="uk-UA"/>
        </w:rPr>
        <w:t>сульбактамом</w:t>
      </w:r>
      <w:proofErr w:type="spellEnd"/>
      <w:r w:rsidRPr="00C95026">
        <w:rPr>
          <w:color w:val="0D0D0D"/>
          <w:sz w:val="28"/>
          <w:szCs w:val="28"/>
          <w:lang w:eastAsia="uk-UA"/>
        </w:rPr>
        <w:t xml:space="preserve">. Інші 5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>з 19 пацієнтів</w:t>
      </w:r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r w:rsidRPr="00C95026">
        <w:rPr>
          <w:color w:val="0D0D0D"/>
          <w:sz w:val="28"/>
          <w:szCs w:val="28"/>
          <w:lang w:eastAsia="uk-UA"/>
        </w:rPr>
        <w:t xml:space="preserve">у зв’язку з ризиком інфікування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Pseudomonas</w:t>
      </w:r>
      <w:proofErr w:type="spellEnd"/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aeruginosa</w:t>
      </w:r>
      <w:proofErr w:type="spellEnd"/>
      <w:r w:rsidRPr="00D62DCB">
        <w:rPr>
          <w:rFonts w:eastAsia="MyriadPro-Regular"/>
          <w:bCs/>
          <w:color w:val="000000"/>
          <w:sz w:val="28"/>
          <w:szCs w:val="28"/>
        </w:rPr>
        <w:t xml:space="preserve">,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Acinetobacter</w:t>
      </w:r>
      <w:proofErr w:type="spellEnd"/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baumannii</w:t>
      </w:r>
      <w:proofErr w:type="spellEnd"/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r w:rsidRPr="00C95026">
        <w:rPr>
          <w:rFonts w:eastAsia="MyriadPro-Regular"/>
          <w:bCs/>
          <w:color w:val="000000"/>
          <w:sz w:val="28"/>
          <w:szCs w:val="28"/>
        </w:rPr>
        <w:t>та/або їх асоціацій, у т</w:t>
      </w:r>
      <w:r>
        <w:rPr>
          <w:rFonts w:eastAsia="MyriadPro-Regular"/>
          <w:bCs/>
          <w:color w:val="000000"/>
          <w:sz w:val="28"/>
          <w:szCs w:val="28"/>
        </w:rPr>
        <w:t xml:space="preserve">ому </w:t>
      </w:r>
      <w:r w:rsidRPr="00C95026">
        <w:rPr>
          <w:rFonts w:eastAsia="MyriadPro-Regular"/>
          <w:bCs/>
          <w:color w:val="000000"/>
          <w:sz w:val="28"/>
          <w:szCs w:val="28"/>
        </w:rPr>
        <w:t>ч</w:t>
      </w:r>
      <w:r>
        <w:rPr>
          <w:rFonts w:eastAsia="MyriadPro-Regular"/>
          <w:bCs/>
          <w:color w:val="000000"/>
          <w:sz w:val="28"/>
          <w:szCs w:val="28"/>
        </w:rPr>
        <w:t>ислі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з</w:t>
      </w:r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Klebsiella</w:t>
      </w:r>
      <w:proofErr w:type="spellEnd"/>
      <w:r w:rsidRPr="00C95026">
        <w:rPr>
          <w:rFonts w:eastAsia="MyriadPro-Regular"/>
          <w:bCs/>
          <w:i/>
          <w:color w:val="000000"/>
          <w:sz w:val="28"/>
          <w:szCs w:val="28"/>
        </w:rPr>
        <w:t xml:space="preserve"> </w:t>
      </w:r>
      <w:proofErr w:type="spellStart"/>
      <w:r w:rsidRPr="00C95026">
        <w:rPr>
          <w:rFonts w:eastAsia="MyriadPro-Regular"/>
          <w:bCs/>
          <w:i/>
          <w:color w:val="000000"/>
          <w:sz w:val="28"/>
          <w:szCs w:val="28"/>
        </w:rPr>
        <w:t>pneumoniae</w:t>
      </w:r>
      <w:proofErr w:type="spellEnd"/>
      <w:r>
        <w:rPr>
          <w:rFonts w:eastAsia="MyriadPro-Regular"/>
          <w:bCs/>
          <w:color w:val="000000"/>
          <w:sz w:val="28"/>
          <w:szCs w:val="28"/>
        </w:rPr>
        <w:t>,</w:t>
      </w:r>
      <w:r w:rsidRPr="00C95026">
        <w:rPr>
          <w:color w:val="0D0D0D"/>
          <w:sz w:val="28"/>
          <w:szCs w:val="28"/>
          <w:lang w:eastAsia="uk-UA"/>
        </w:rPr>
        <w:t xml:space="preserve"> до призначення противірусних препаратів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отримували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кабапенем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(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дор</w:t>
      </w:r>
      <w:r>
        <w:rPr>
          <w:rFonts w:eastAsia="MyriadPro-Regular"/>
          <w:bCs/>
          <w:color w:val="000000"/>
          <w:sz w:val="28"/>
          <w:szCs w:val="28"/>
        </w:rPr>
        <w:t>и</w:t>
      </w:r>
      <w:r w:rsidRPr="00C95026">
        <w:rPr>
          <w:rFonts w:eastAsia="MyriadPro-Regular"/>
          <w:bCs/>
          <w:color w:val="000000"/>
          <w:sz w:val="28"/>
          <w:szCs w:val="28"/>
        </w:rPr>
        <w:t>пенем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) </w:t>
      </w:r>
      <w:r>
        <w:rPr>
          <w:rFonts w:eastAsia="MyriadPro-Regular"/>
          <w:bCs/>
          <w:color w:val="000000"/>
          <w:sz w:val="28"/>
          <w:szCs w:val="28"/>
        </w:rPr>
        <w:t>у дозі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500 мг шляхом пролонгованої 4-годинної внутрішньовенної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інфузії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3 рази на добу</w:t>
      </w:r>
      <w:r>
        <w:rPr>
          <w:rFonts w:eastAsia="MyriadPro-Regular"/>
          <w:bCs/>
          <w:color w:val="000000"/>
          <w:sz w:val="28"/>
          <w:szCs w:val="28"/>
        </w:rPr>
        <w:t xml:space="preserve"> в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комбінації з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аміноглікозидом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тобраміцином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шляхом внутрішньовенної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інфузії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в разовій дозі 1</w:t>
      </w:r>
      <w:r>
        <w:rPr>
          <w:rFonts w:eastAsia="MyriadPro-Regular"/>
          <w:bCs/>
          <w:color w:val="000000"/>
          <w:sz w:val="28"/>
          <w:szCs w:val="28"/>
        </w:rPr>
        <w:t xml:space="preserve"> 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мг/кг маси тіла </w:t>
      </w:r>
      <w:r>
        <w:rPr>
          <w:rFonts w:eastAsia="MyriadPro-Regular"/>
          <w:bCs/>
          <w:color w:val="000000"/>
          <w:sz w:val="28"/>
          <w:szCs w:val="28"/>
        </w:rPr>
        <w:t>в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розведенні на 100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мл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0,9</w:t>
      </w:r>
      <w:r>
        <w:rPr>
          <w:rFonts w:eastAsia="MyriadPro-Regular"/>
          <w:bCs/>
          <w:color w:val="000000"/>
          <w:sz w:val="28"/>
          <w:szCs w:val="28"/>
        </w:rPr>
        <w:t> 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% розчину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NaCl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або на 100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мл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5</w:t>
      </w:r>
      <w:r>
        <w:rPr>
          <w:rFonts w:eastAsia="MyriadPro-Regular"/>
          <w:bCs/>
          <w:color w:val="000000"/>
          <w:sz w:val="28"/>
          <w:szCs w:val="28"/>
        </w:rPr>
        <w:t> 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% розчину глюкози кожні 8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год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протягом 30-60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хв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під контролем рівня азотистих шлаків у кров</w:t>
      </w:r>
      <w:r>
        <w:rPr>
          <w:rFonts w:eastAsia="MyriadPro-Regular"/>
          <w:bCs/>
          <w:color w:val="000000"/>
          <w:sz w:val="28"/>
          <w:szCs w:val="28"/>
        </w:rPr>
        <w:t>і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та темпу ді</w:t>
      </w:r>
      <w:r>
        <w:rPr>
          <w:rFonts w:eastAsia="MyriadPro-Regular"/>
          <w:bCs/>
          <w:color w:val="000000"/>
          <w:sz w:val="28"/>
          <w:szCs w:val="28"/>
        </w:rPr>
        <w:t xml:space="preserve">урезу в </w:t>
      </w:r>
      <w:proofErr w:type="spellStart"/>
      <w:r>
        <w:rPr>
          <w:rFonts w:eastAsia="MyriadPro-Regular"/>
          <w:bCs/>
          <w:color w:val="000000"/>
          <w:sz w:val="28"/>
          <w:szCs w:val="28"/>
        </w:rPr>
        <w:t>мл</w:t>
      </w:r>
      <w:proofErr w:type="spellEnd"/>
      <w:r>
        <w:rPr>
          <w:rFonts w:eastAsia="MyriadPro-Regular"/>
          <w:bCs/>
          <w:color w:val="000000"/>
          <w:sz w:val="28"/>
          <w:szCs w:val="28"/>
        </w:rPr>
        <w:t>/кг маси тіла на годину.</w:t>
      </w:r>
    </w:p>
    <w:p w:rsidR="00CA65D0" w:rsidRPr="00C95026" w:rsidRDefault="00CA65D0" w:rsidP="00CA65D0">
      <w:pPr>
        <w:spacing w:after="120" w:line="276" w:lineRule="auto"/>
        <w:ind w:firstLine="709"/>
        <w:jc w:val="both"/>
        <w:rPr>
          <w:color w:val="0D0D0D"/>
          <w:sz w:val="28"/>
          <w:szCs w:val="28"/>
          <w:lang w:eastAsia="uk-UA"/>
        </w:rPr>
      </w:pPr>
      <w:r w:rsidRPr="00C95026">
        <w:rPr>
          <w:rFonts w:eastAsia="MyriadPro-Regular"/>
          <w:bCs/>
          <w:color w:val="000000"/>
          <w:sz w:val="28"/>
          <w:szCs w:val="28"/>
        </w:rPr>
        <w:t xml:space="preserve">Після отримання позитивного результату щодо вірусної етіології пневмонії лікування противірусними препаратами проводили під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ЕКГ-контролем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. Певні стартові зміни на ЕКГ (подовження інтервалу QT) </w:t>
      </w:r>
      <w:r>
        <w:rPr>
          <w:rFonts w:eastAsia="MyriadPro-Regular"/>
          <w:bCs/>
          <w:color w:val="000000"/>
          <w:sz w:val="28"/>
          <w:szCs w:val="28"/>
        </w:rPr>
        <w:t>потребувало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проведення постійного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кардіомоніторингу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пацієнтів для контролю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кардіотоксичності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протимікробних препаратів (противірусних; антибіотиків </w:t>
      </w:r>
      <w:r>
        <w:rPr>
          <w:rFonts w:eastAsia="MyriadPro-Regular"/>
          <w:bCs/>
          <w:color w:val="000000"/>
          <w:sz w:val="28"/>
          <w:szCs w:val="28"/>
        </w:rPr>
        <w:t>–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респіраторних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фторхінолонів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,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макролідів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),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антимікотиків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 (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вориконазол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,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флуконазол</w:t>
      </w:r>
      <w:proofErr w:type="spellEnd"/>
      <w:r w:rsidRPr="00C95026">
        <w:rPr>
          <w:rFonts w:eastAsia="MyriadPro-Regular"/>
          <w:bCs/>
          <w:color w:val="000000"/>
          <w:sz w:val="28"/>
          <w:szCs w:val="28"/>
        </w:rPr>
        <w:t xml:space="preserve">) </w:t>
      </w:r>
      <w:r>
        <w:rPr>
          <w:rFonts w:eastAsia="MyriadPro-Regular"/>
          <w:bCs/>
          <w:color w:val="000000"/>
          <w:sz w:val="28"/>
          <w:szCs w:val="28"/>
        </w:rPr>
        <w:t>і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протималярійних препаратів, </w:t>
      </w:r>
      <w:r>
        <w:rPr>
          <w:rFonts w:eastAsia="MyriadPro-Regular"/>
          <w:bCs/>
          <w:color w:val="000000"/>
          <w:sz w:val="28"/>
          <w:szCs w:val="28"/>
        </w:rPr>
        <w:t>які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застосовуються на</w:t>
      </w:r>
      <w:r>
        <w:rPr>
          <w:rFonts w:eastAsia="MyriadPro-Regular"/>
          <w:bCs/>
          <w:color w:val="000000"/>
          <w:sz w:val="28"/>
          <w:szCs w:val="28"/>
        </w:rPr>
        <w:t>разі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як </w:t>
      </w:r>
      <w:proofErr w:type="spellStart"/>
      <w:r w:rsidRPr="00C95026">
        <w:rPr>
          <w:rFonts w:eastAsia="MyriadPro-Regular"/>
          <w:bCs/>
          <w:color w:val="000000"/>
          <w:sz w:val="28"/>
          <w:szCs w:val="28"/>
        </w:rPr>
        <w:t>етіотропн</w:t>
      </w:r>
      <w:r>
        <w:rPr>
          <w:rFonts w:eastAsia="MyriadPro-Regular"/>
          <w:bCs/>
          <w:color w:val="000000"/>
          <w:sz w:val="28"/>
          <w:szCs w:val="28"/>
        </w:rPr>
        <w:t>і</w:t>
      </w:r>
      <w:proofErr w:type="spellEnd"/>
      <w:r>
        <w:rPr>
          <w:rFonts w:eastAsia="MyriadPro-Regular"/>
          <w:bCs/>
          <w:color w:val="000000"/>
          <w:sz w:val="28"/>
          <w:szCs w:val="28"/>
        </w:rPr>
        <w:t xml:space="preserve"> засоби</w:t>
      </w:r>
      <w:r w:rsidRPr="00C95026">
        <w:rPr>
          <w:rFonts w:eastAsia="MyriadPro-Regular"/>
          <w:bCs/>
          <w:color w:val="000000"/>
          <w:sz w:val="28"/>
          <w:szCs w:val="28"/>
        </w:rPr>
        <w:t xml:space="preserve"> для лікування COVID-19 та її ускладнень.</w:t>
      </w:r>
    </w:p>
    <w:p w:rsidR="00CA65D0" w:rsidRPr="00C95026" w:rsidRDefault="00CA65D0" w:rsidP="00CA65D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color w:val="0D0D0D"/>
          <w:sz w:val="28"/>
          <w:szCs w:val="28"/>
          <w:lang w:eastAsia="uk-UA"/>
        </w:rPr>
        <w:t>Висновки.</w:t>
      </w:r>
      <w:r>
        <w:rPr>
          <w:color w:val="0D0D0D"/>
          <w:sz w:val="28"/>
          <w:szCs w:val="28"/>
          <w:lang w:eastAsia="uk-UA"/>
        </w:rPr>
        <w:t xml:space="preserve"> </w:t>
      </w:r>
      <w:r w:rsidRPr="00C95026">
        <w:rPr>
          <w:color w:val="0D0D0D"/>
          <w:sz w:val="28"/>
          <w:szCs w:val="28"/>
          <w:lang w:eastAsia="uk-UA"/>
        </w:rPr>
        <w:t xml:space="preserve">Протимікробна терапія вірусно-бактеріальних пневмоній у пацієнтів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 xml:space="preserve">з COVID-19 </w:t>
      </w:r>
      <w:r>
        <w:rPr>
          <w:color w:val="0D0D0D"/>
          <w:sz w:val="28"/>
          <w:szCs w:val="28"/>
          <w:lang w:eastAsia="uk-UA"/>
        </w:rPr>
        <w:t>потребує</w:t>
      </w:r>
      <w:r w:rsidRPr="00C95026">
        <w:rPr>
          <w:color w:val="0D0D0D"/>
          <w:sz w:val="28"/>
          <w:szCs w:val="28"/>
          <w:lang w:eastAsia="uk-UA"/>
        </w:rPr>
        <w:t xml:space="preserve"> усвідомленого підходу із суворим дотриманням принципів вибору, своєчасного початку та контролю ефективності протимікробних препаратів як суттєвого компонента комплексної інтенсивної терапії пацієнтів </w:t>
      </w:r>
      <w:r>
        <w:rPr>
          <w:color w:val="0D0D0D"/>
          <w:sz w:val="28"/>
          <w:szCs w:val="28"/>
          <w:lang w:eastAsia="uk-UA"/>
        </w:rPr>
        <w:t>і</w:t>
      </w:r>
      <w:r w:rsidRPr="00C95026">
        <w:rPr>
          <w:color w:val="0D0D0D"/>
          <w:sz w:val="28"/>
          <w:szCs w:val="28"/>
          <w:lang w:eastAsia="uk-UA"/>
        </w:rPr>
        <w:t>з цією патологією.</w:t>
      </w:r>
    </w:p>
    <w:p w:rsidR="00CA65D0" w:rsidRDefault="00CA65D0" w:rsidP="00CA65D0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C95026">
        <w:rPr>
          <w:b/>
          <w:color w:val="0D0D0D"/>
          <w:sz w:val="28"/>
          <w:szCs w:val="28"/>
          <w:lang w:eastAsia="uk-UA"/>
        </w:rPr>
        <w:t>Ключові слова:</w:t>
      </w:r>
      <w:r w:rsidRPr="00C95026">
        <w:rPr>
          <w:color w:val="0D0D0D"/>
          <w:sz w:val="28"/>
          <w:szCs w:val="28"/>
          <w:lang w:eastAsia="uk-UA"/>
        </w:rPr>
        <w:t xml:space="preserve"> </w:t>
      </w:r>
      <w:proofErr w:type="spellStart"/>
      <w:r w:rsidRPr="00C95026">
        <w:rPr>
          <w:sz w:val="28"/>
          <w:szCs w:val="28"/>
        </w:rPr>
        <w:t>коронавірусна</w:t>
      </w:r>
      <w:proofErr w:type="spellEnd"/>
      <w:r w:rsidRPr="00C95026">
        <w:rPr>
          <w:sz w:val="28"/>
          <w:szCs w:val="28"/>
        </w:rPr>
        <w:t xml:space="preserve"> хвороба, вірусно-бактеріальні пневмонії, оптимізація діагностики,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оптимізація протимікробної терапії.</w:t>
      </w:r>
    </w:p>
    <w:p w:rsidR="00CA65D0" w:rsidRDefault="00CA65D0" w:rsidP="00CA65D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CA65D0" w:rsidRPr="00D62DCB" w:rsidRDefault="00CA65D0" w:rsidP="00CA65D0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CA65D0" w:rsidRPr="00E86C25" w:rsidRDefault="00CA65D0" w:rsidP="00CA65D0">
      <w:pPr>
        <w:pStyle w:val="HTML"/>
        <w:spacing w:after="120" w:line="276" w:lineRule="auto"/>
        <w:jc w:val="both"/>
        <w:rPr>
          <w:rFonts w:ascii="Times New Roman" w:hAnsi="Times New Roman"/>
          <w:b/>
          <w:color w:val="222222"/>
          <w:sz w:val="32"/>
          <w:szCs w:val="28"/>
          <w:lang w:val="en-US"/>
        </w:rPr>
      </w:pPr>
      <w:r w:rsidRPr="00E86C25">
        <w:rPr>
          <w:rFonts w:ascii="Times New Roman" w:hAnsi="Times New Roman"/>
          <w:b/>
          <w:color w:val="222222"/>
          <w:sz w:val="32"/>
          <w:szCs w:val="28"/>
          <w:lang w:val="en-US"/>
        </w:rPr>
        <w:t xml:space="preserve">Peculiarities of antimicrobial therapy of viral-bacterial pneumonia in patients with </w:t>
      </w:r>
      <w:proofErr w:type="spellStart"/>
      <w:r w:rsidRPr="00E86C25">
        <w:rPr>
          <w:rFonts w:ascii="Times New Roman" w:hAnsi="Times New Roman"/>
          <w:b/>
          <w:color w:val="222222"/>
          <w:sz w:val="32"/>
          <w:szCs w:val="28"/>
          <w:lang w:val="en-US"/>
        </w:rPr>
        <w:t>coronavirus</w:t>
      </w:r>
      <w:proofErr w:type="spellEnd"/>
      <w:r w:rsidRPr="00E86C25">
        <w:rPr>
          <w:rFonts w:ascii="Times New Roman" w:hAnsi="Times New Roman"/>
          <w:b/>
          <w:color w:val="222222"/>
          <w:sz w:val="32"/>
          <w:szCs w:val="28"/>
          <w:lang w:val="en-US"/>
        </w:rPr>
        <w:t xml:space="preserve"> disease</w:t>
      </w:r>
    </w:p>
    <w:p w:rsidR="00CA65D0" w:rsidRPr="00E86C25" w:rsidRDefault="00CA65D0" w:rsidP="00CA65D0">
      <w:pPr>
        <w:pStyle w:val="HTML"/>
        <w:spacing w:after="120" w:line="276" w:lineRule="auto"/>
        <w:jc w:val="both"/>
        <w:rPr>
          <w:rFonts w:ascii="Times New Roman" w:hAnsi="Times New Roman"/>
          <w:b/>
          <w:color w:val="222222"/>
          <w:sz w:val="26"/>
          <w:szCs w:val="26"/>
          <w:lang w:val="en-US"/>
        </w:rPr>
      </w:pPr>
      <w:proofErr w:type="spellStart"/>
      <w:r w:rsidRPr="00E86C25">
        <w:rPr>
          <w:rFonts w:ascii="Times New Roman" w:hAnsi="Times New Roman"/>
          <w:b/>
          <w:color w:val="222222"/>
          <w:sz w:val="26"/>
          <w:szCs w:val="26"/>
          <w:lang w:val="en-US"/>
        </w:rPr>
        <w:t>Nesterenko</w:t>
      </w:r>
      <w:proofErr w:type="spellEnd"/>
      <w:r w:rsidRPr="00E86C25">
        <w:rPr>
          <w:rFonts w:ascii="Times New Roman" w:hAnsi="Times New Roman"/>
          <w:b/>
          <w:color w:val="222222"/>
          <w:sz w:val="26"/>
          <w:szCs w:val="26"/>
          <w:lang w:val="en-US"/>
        </w:rPr>
        <w:t xml:space="preserve"> O.M.</w:t>
      </w:r>
    </w:p>
    <w:p w:rsidR="00CA65D0" w:rsidRPr="00E86C25" w:rsidRDefault="00CA65D0" w:rsidP="00CA65D0">
      <w:pPr>
        <w:pStyle w:val="HTML"/>
        <w:spacing w:after="120" w:line="276" w:lineRule="auto"/>
        <w:jc w:val="both"/>
        <w:rPr>
          <w:rFonts w:ascii="Times New Roman" w:hAnsi="Times New Roman"/>
          <w:color w:val="222222"/>
          <w:sz w:val="26"/>
          <w:szCs w:val="26"/>
          <w:lang w:val="en-US"/>
        </w:rPr>
      </w:pPr>
      <w:r w:rsidRPr="00E86C25">
        <w:rPr>
          <w:rFonts w:ascii="Times New Roman" w:hAnsi="Times New Roman"/>
          <w:color w:val="222222"/>
          <w:sz w:val="26"/>
          <w:szCs w:val="26"/>
          <w:lang w:val="en-US"/>
        </w:rPr>
        <w:t>Donetsk National Medical University of the Ministry of Health of Ukraine, Kramatorsk, Ukraine</w:t>
      </w:r>
    </w:p>
    <w:p w:rsidR="00CA65D0" w:rsidRPr="000B6EA7" w:rsidRDefault="00CA65D0" w:rsidP="00CA65D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Abstract</w:t>
      </w:r>
      <w:r w:rsidRPr="000B6EA7">
        <w:rPr>
          <w:rFonts w:ascii="Times New Roman" w:hAnsi="Times New Roman"/>
          <w:b/>
          <w:sz w:val="28"/>
          <w:szCs w:val="28"/>
          <w:lang w:val="en-US"/>
        </w:rPr>
        <w:t>.</w:t>
      </w:r>
      <w:r w:rsidRPr="003235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 xml:space="preserve">The tactics of examination and treatment of 19 patients before and after laboratory confirmation of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coronavirus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/>
        </w:rPr>
        <w:t xml:space="preserve"> disease (</w:t>
      </w:r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>COVID-19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)</w:t>
      </w:r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 xml:space="preserve"> are given. It is concluded that antimicrobial therapy of viral and bacterial pneumonia in patients with COVID-19 requires a conscious approach with strict adherence to the principles of selection, timely initiation and control of antimicrobial efficacy as an essential component of comprehensive intensive care of patients with this pathology.</w:t>
      </w:r>
    </w:p>
    <w:p w:rsidR="00CA65D0" w:rsidRDefault="00CA65D0" w:rsidP="00CA65D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0B6EA7">
        <w:rPr>
          <w:rFonts w:ascii="Times New Roman" w:hAnsi="Times New Roman"/>
          <w:b/>
          <w:color w:val="222222"/>
          <w:sz w:val="28"/>
          <w:szCs w:val="28"/>
          <w:lang w:val="en-US"/>
        </w:rPr>
        <w:t>Key words:</w:t>
      </w:r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 xml:space="preserve"> COVID-19, viral and bacterial pneumonia, optimization of diagnosis, optimization of antimicrobial therapy.</w:t>
      </w:r>
    </w:p>
    <w:p w:rsidR="00CA65D0" w:rsidRDefault="00CA65D0" w:rsidP="00CA65D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CA65D0" w:rsidRPr="00CA65D0" w:rsidRDefault="00CA65D0" w:rsidP="00CA65D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CA65D0" w:rsidRPr="00AD2A44" w:rsidRDefault="00CA65D0" w:rsidP="00CA65D0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</w:p>
    <w:p w:rsidR="00CA65D0" w:rsidRPr="006C34DB" w:rsidRDefault="00CA65D0" w:rsidP="00CA65D0">
      <w:pPr>
        <w:rPr>
          <w:lang w:val="en-US"/>
        </w:rPr>
      </w:pPr>
    </w:p>
    <w:p w:rsidR="00130573" w:rsidRPr="00CA65D0" w:rsidRDefault="00130573">
      <w:pPr>
        <w:rPr>
          <w:lang w:val="en-US"/>
        </w:rPr>
      </w:pPr>
    </w:p>
    <w:sectPr w:rsidR="00130573" w:rsidRPr="00CA65D0" w:rsidSect="00C46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5D0"/>
    <w:rsid w:val="00130573"/>
    <w:rsid w:val="00C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0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6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A65D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rsid w:val="00CA65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3792</Words>
  <Characters>2162</Characters>
  <Application>Microsoft Office Word</Application>
  <DocSecurity>0</DocSecurity>
  <Lines>18</Lines>
  <Paragraphs>11</Paragraphs>
  <ScaleCrop>false</ScaleCrop>
  <Company>diakov.net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2020-11-11T12:37:00Z</dcterms:created>
  <dcterms:modified xsi:type="dcterms:W3CDTF">2020-11-11T12:38:00Z</dcterms:modified>
</cp:coreProperties>
</file>