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DD" w:rsidRPr="00E86C25" w:rsidRDefault="00A669DD" w:rsidP="00A669DD">
      <w:pPr>
        <w:spacing w:after="120" w:line="276" w:lineRule="auto"/>
        <w:ind w:firstLine="0"/>
        <w:jc w:val="both"/>
        <w:rPr>
          <w:b/>
          <w:sz w:val="32"/>
          <w:szCs w:val="28"/>
          <w:lang w:val="ru-RU"/>
        </w:rPr>
      </w:pPr>
      <w:r w:rsidRPr="00E86C25">
        <w:rPr>
          <w:b/>
          <w:sz w:val="32"/>
          <w:szCs w:val="28"/>
          <w:lang w:val="ru-RU"/>
        </w:rPr>
        <w:t xml:space="preserve">Результаты профилактики массивных послеродовых кровотечений у женщин с </w:t>
      </w:r>
      <w:proofErr w:type="spellStart"/>
      <w:r w:rsidRPr="00E86C25">
        <w:rPr>
          <w:b/>
          <w:sz w:val="32"/>
          <w:szCs w:val="28"/>
          <w:lang w:val="ru-RU"/>
        </w:rPr>
        <w:t>преэклампсиями</w:t>
      </w:r>
      <w:proofErr w:type="spellEnd"/>
    </w:p>
    <w:p w:rsidR="00A669DD" w:rsidRPr="00E86C25" w:rsidRDefault="00A669DD" w:rsidP="00A669DD">
      <w:pPr>
        <w:spacing w:after="120" w:line="276" w:lineRule="auto"/>
        <w:ind w:firstLine="0"/>
        <w:jc w:val="both"/>
        <w:rPr>
          <w:b/>
          <w:sz w:val="26"/>
          <w:szCs w:val="26"/>
          <w:lang w:val="ru-RU"/>
        </w:rPr>
      </w:pPr>
      <w:proofErr w:type="spellStart"/>
      <w:r w:rsidRPr="00E86C25">
        <w:rPr>
          <w:b/>
          <w:sz w:val="26"/>
          <w:szCs w:val="26"/>
          <w:lang w:val="ru-RU"/>
        </w:rPr>
        <w:t>Камилова</w:t>
      </w:r>
      <w:proofErr w:type="spellEnd"/>
      <w:r w:rsidRPr="00E86C25">
        <w:rPr>
          <w:b/>
          <w:sz w:val="26"/>
          <w:szCs w:val="26"/>
          <w:lang w:val="ru-RU"/>
        </w:rPr>
        <w:t xml:space="preserve"> М.Я., </w:t>
      </w:r>
      <w:proofErr w:type="spellStart"/>
      <w:proofErr w:type="gramStart"/>
      <w:r w:rsidRPr="00E86C25">
        <w:rPr>
          <w:b/>
          <w:sz w:val="26"/>
          <w:szCs w:val="26"/>
          <w:lang w:val="ru-RU"/>
        </w:rPr>
        <w:t>Амин-Заде</w:t>
      </w:r>
      <w:proofErr w:type="spellEnd"/>
      <w:proofErr w:type="gramEnd"/>
      <w:r w:rsidRPr="00E86C25">
        <w:rPr>
          <w:b/>
          <w:sz w:val="26"/>
          <w:szCs w:val="26"/>
          <w:lang w:val="ru-RU"/>
        </w:rPr>
        <w:t xml:space="preserve"> Н.</w:t>
      </w:r>
    </w:p>
    <w:p w:rsidR="00A669DD" w:rsidRPr="00E86C25" w:rsidRDefault="00A669DD" w:rsidP="00A669DD">
      <w:pPr>
        <w:spacing w:after="120" w:line="276" w:lineRule="auto"/>
        <w:ind w:firstLine="0"/>
        <w:jc w:val="both"/>
        <w:rPr>
          <w:sz w:val="26"/>
          <w:szCs w:val="26"/>
          <w:lang w:val="ru-RU"/>
        </w:rPr>
      </w:pPr>
      <w:r w:rsidRPr="00E86C25">
        <w:rPr>
          <w:sz w:val="26"/>
          <w:szCs w:val="26"/>
          <w:lang w:val="ru-RU"/>
        </w:rPr>
        <w:t xml:space="preserve">ГУ «НИИ акушерства, гинекологии и </w:t>
      </w:r>
      <w:proofErr w:type="spellStart"/>
      <w:r w:rsidRPr="00E86C25">
        <w:rPr>
          <w:sz w:val="26"/>
          <w:szCs w:val="26"/>
          <w:lang w:val="ru-RU"/>
        </w:rPr>
        <w:t>перинатологии</w:t>
      </w:r>
      <w:proofErr w:type="spellEnd"/>
      <w:r w:rsidRPr="00E86C25">
        <w:rPr>
          <w:sz w:val="26"/>
          <w:szCs w:val="26"/>
          <w:lang w:val="ru-RU"/>
        </w:rPr>
        <w:t xml:space="preserve"> Министерства здравоохранения и социальной защиты населения Республики Таджикистан», </w:t>
      </w:r>
      <w:proofErr w:type="gramStart"/>
      <w:r w:rsidRPr="00E86C25">
        <w:rPr>
          <w:sz w:val="26"/>
          <w:szCs w:val="26"/>
          <w:lang w:val="ru-RU"/>
        </w:rPr>
        <w:t>г</w:t>
      </w:r>
      <w:proofErr w:type="gramEnd"/>
      <w:r w:rsidRPr="00E86C25">
        <w:rPr>
          <w:sz w:val="26"/>
          <w:szCs w:val="26"/>
          <w:lang w:val="ru-RU"/>
        </w:rPr>
        <w:t>. Душанбе, Таджикистан</w:t>
      </w:r>
    </w:p>
    <w:p w:rsidR="00A669DD" w:rsidRPr="00995A3D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995A3D">
        <w:rPr>
          <w:b/>
          <w:sz w:val="28"/>
          <w:szCs w:val="28"/>
          <w:lang w:val="ru-RU"/>
        </w:rPr>
        <w:t>Цель.</w:t>
      </w:r>
      <w:r w:rsidRPr="00995A3D">
        <w:rPr>
          <w:sz w:val="28"/>
          <w:szCs w:val="28"/>
          <w:lang w:val="ru-RU"/>
        </w:rPr>
        <w:t xml:space="preserve"> Оценить эффективность применения </w:t>
      </w:r>
      <w:proofErr w:type="spellStart"/>
      <w:r w:rsidRPr="00995A3D">
        <w:rPr>
          <w:sz w:val="28"/>
          <w:szCs w:val="28"/>
          <w:lang w:val="ru-RU"/>
        </w:rPr>
        <w:t>транексамовой</w:t>
      </w:r>
      <w:proofErr w:type="spellEnd"/>
      <w:r w:rsidRPr="00995A3D">
        <w:rPr>
          <w:sz w:val="28"/>
          <w:szCs w:val="28"/>
          <w:lang w:val="ru-RU"/>
        </w:rPr>
        <w:t xml:space="preserve"> кислоты с целью профилактики критических кровотечений у женщин с </w:t>
      </w:r>
      <w:proofErr w:type="spellStart"/>
      <w:r w:rsidRPr="00995A3D">
        <w:rPr>
          <w:sz w:val="28"/>
          <w:szCs w:val="28"/>
          <w:lang w:val="ru-RU"/>
        </w:rPr>
        <w:t>преэклампсиями</w:t>
      </w:r>
      <w:proofErr w:type="spellEnd"/>
      <w:r w:rsidRPr="00995A3D">
        <w:rPr>
          <w:sz w:val="28"/>
          <w:szCs w:val="28"/>
          <w:lang w:val="ru-RU"/>
        </w:rPr>
        <w:t>.</w:t>
      </w:r>
    </w:p>
    <w:p w:rsidR="00A669DD" w:rsidRPr="00995A3D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995A3D">
        <w:rPr>
          <w:b/>
          <w:sz w:val="28"/>
          <w:szCs w:val="28"/>
          <w:lang w:val="ru-RU"/>
        </w:rPr>
        <w:t>Материал</w:t>
      </w:r>
      <w:r>
        <w:rPr>
          <w:b/>
          <w:sz w:val="28"/>
          <w:szCs w:val="28"/>
          <w:lang w:val="ru-RU"/>
        </w:rPr>
        <w:t>ы</w:t>
      </w:r>
      <w:r w:rsidRPr="00995A3D">
        <w:rPr>
          <w:b/>
          <w:sz w:val="28"/>
          <w:szCs w:val="28"/>
          <w:lang w:val="ru-RU"/>
        </w:rPr>
        <w:t xml:space="preserve"> и методы.</w:t>
      </w:r>
      <w:r w:rsidRPr="00995A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исследовании приняла участие </w:t>
      </w:r>
      <w:r w:rsidRPr="00995A3D">
        <w:rPr>
          <w:sz w:val="28"/>
          <w:szCs w:val="28"/>
          <w:lang w:val="ru-RU"/>
        </w:rPr>
        <w:t xml:space="preserve">31 родильница с послеродовым гипотоническим кровотечением. Критерии включения: репродуктивный возраст, </w:t>
      </w:r>
      <w:proofErr w:type="gramStart"/>
      <w:r w:rsidRPr="00995A3D">
        <w:rPr>
          <w:sz w:val="28"/>
          <w:szCs w:val="28"/>
          <w:lang w:val="ru-RU"/>
        </w:rPr>
        <w:t>тяжел</w:t>
      </w:r>
      <w:r>
        <w:rPr>
          <w:sz w:val="28"/>
          <w:szCs w:val="28"/>
          <w:lang w:val="ru-RU"/>
        </w:rPr>
        <w:t>ая</w:t>
      </w:r>
      <w:proofErr w:type="gramEnd"/>
      <w:r w:rsidRPr="00995A3D">
        <w:rPr>
          <w:sz w:val="28"/>
          <w:szCs w:val="28"/>
          <w:lang w:val="ru-RU"/>
        </w:rPr>
        <w:t xml:space="preserve"> </w:t>
      </w:r>
      <w:proofErr w:type="spellStart"/>
      <w:r w:rsidRPr="00995A3D">
        <w:rPr>
          <w:sz w:val="28"/>
          <w:szCs w:val="28"/>
          <w:lang w:val="ru-RU"/>
        </w:rPr>
        <w:t>преэклампси</w:t>
      </w:r>
      <w:r>
        <w:rPr>
          <w:sz w:val="28"/>
          <w:szCs w:val="28"/>
          <w:lang w:val="ru-RU"/>
        </w:rPr>
        <w:t>я</w:t>
      </w:r>
      <w:proofErr w:type="spellEnd"/>
      <w:r w:rsidRPr="00995A3D">
        <w:rPr>
          <w:sz w:val="28"/>
          <w:szCs w:val="28"/>
          <w:lang w:val="ru-RU"/>
        </w:rPr>
        <w:t xml:space="preserve">, послеродовое кровотечение, объем кровопотери </w:t>
      </w:r>
      <w:r>
        <w:rPr>
          <w:sz w:val="28"/>
          <w:szCs w:val="28"/>
          <w:lang w:val="ru-RU"/>
        </w:rPr>
        <w:t xml:space="preserve">– </w:t>
      </w:r>
      <w:r w:rsidRPr="00995A3D">
        <w:rPr>
          <w:sz w:val="28"/>
          <w:szCs w:val="28"/>
          <w:lang w:val="ru-RU"/>
        </w:rPr>
        <w:t xml:space="preserve">700 мл, добровольное согласие на введение </w:t>
      </w:r>
      <w:proofErr w:type="spellStart"/>
      <w:r w:rsidRPr="00995A3D">
        <w:rPr>
          <w:sz w:val="28"/>
          <w:szCs w:val="28"/>
          <w:lang w:val="ru-RU"/>
        </w:rPr>
        <w:t>транексамовой</w:t>
      </w:r>
      <w:proofErr w:type="spellEnd"/>
      <w:r w:rsidRPr="00995A3D">
        <w:rPr>
          <w:sz w:val="28"/>
          <w:szCs w:val="28"/>
          <w:lang w:val="ru-RU"/>
        </w:rPr>
        <w:t xml:space="preserve"> кислоты. Критерии исключения: </w:t>
      </w:r>
      <w:proofErr w:type="spellStart"/>
      <w:r w:rsidRPr="00995A3D">
        <w:rPr>
          <w:sz w:val="28"/>
          <w:szCs w:val="28"/>
          <w:lang w:val="ru-RU"/>
        </w:rPr>
        <w:t>родоразрешение</w:t>
      </w:r>
      <w:proofErr w:type="spellEnd"/>
      <w:r w:rsidRPr="00995A3D">
        <w:rPr>
          <w:sz w:val="28"/>
          <w:szCs w:val="28"/>
          <w:lang w:val="ru-RU"/>
        </w:rPr>
        <w:t xml:space="preserve"> путем операции </w:t>
      </w:r>
      <w:proofErr w:type="gramStart"/>
      <w:r w:rsidRPr="00995A3D">
        <w:rPr>
          <w:sz w:val="28"/>
          <w:szCs w:val="28"/>
          <w:lang w:val="ru-RU"/>
        </w:rPr>
        <w:t>кесарево</w:t>
      </w:r>
      <w:proofErr w:type="gramEnd"/>
      <w:r w:rsidRPr="00995A3D">
        <w:rPr>
          <w:sz w:val="28"/>
          <w:szCs w:val="28"/>
          <w:lang w:val="ru-RU"/>
        </w:rPr>
        <w:t xml:space="preserve"> сечени</w:t>
      </w:r>
      <w:r>
        <w:rPr>
          <w:sz w:val="28"/>
          <w:szCs w:val="28"/>
          <w:lang w:val="ru-RU"/>
        </w:rPr>
        <w:t>я</w:t>
      </w:r>
      <w:r w:rsidRPr="00995A3D">
        <w:rPr>
          <w:sz w:val="28"/>
          <w:szCs w:val="28"/>
          <w:lang w:val="ru-RU"/>
        </w:rPr>
        <w:t xml:space="preserve">. При оказании неотложной помощи наряду с другими стандартными мероприятиями 14 женщинам (основная группа) вводили </w:t>
      </w:r>
      <w:proofErr w:type="spellStart"/>
      <w:r w:rsidRPr="00995A3D">
        <w:rPr>
          <w:sz w:val="28"/>
          <w:szCs w:val="28"/>
          <w:lang w:val="ru-RU"/>
        </w:rPr>
        <w:t>транексамовую</w:t>
      </w:r>
      <w:proofErr w:type="spellEnd"/>
      <w:r w:rsidRPr="00995A3D">
        <w:rPr>
          <w:sz w:val="28"/>
          <w:szCs w:val="28"/>
          <w:lang w:val="ru-RU"/>
        </w:rPr>
        <w:t xml:space="preserve"> кислоту при достижении кровопотери 700 мл, 17 женщинам (группа сравнения) </w:t>
      </w:r>
      <w:proofErr w:type="spellStart"/>
      <w:r w:rsidRPr="00995A3D">
        <w:rPr>
          <w:sz w:val="28"/>
          <w:szCs w:val="28"/>
          <w:lang w:val="ru-RU"/>
        </w:rPr>
        <w:t>транексамовую</w:t>
      </w:r>
      <w:proofErr w:type="spellEnd"/>
      <w:r w:rsidRPr="00995A3D">
        <w:rPr>
          <w:sz w:val="28"/>
          <w:szCs w:val="28"/>
          <w:lang w:val="ru-RU"/>
        </w:rPr>
        <w:t xml:space="preserve"> кислоту не вводили. Методы исследования: измерение объема кровопотери (расчетным методом и методом измерения кровопотери), статистический анализ – сравнение совокупностей по качественным признакам.</w:t>
      </w:r>
    </w:p>
    <w:p w:rsidR="00A669DD" w:rsidRPr="00E768DF" w:rsidRDefault="00A669DD" w:rsidP="00A669DD">
      <w:pPr>
        <w:spacing w:after="120" w:line="276" w:lineRule="auto"/>
        <w:ind w:firstLine="709"/>
        <w:jc w:val="both"/>
        <w:rPr>
          <w:spacing w:val="-2"/>
          <w:sz w:val="28"/>
          <w:szCs w:val="28"/>
          <w:lang w:val="ru-RU"/>
        </w:rPr>
      </w:pPr>
      <w:r w:rsidRPr="00E768DF">
        <w:rPr>
          <w:b/>
          <w:spacing w:val="-2"/>
          <w:sz w:val="28"/>
          <w:szCs w:val="28"/>
          <w:lang w:val="ru-RU"/>
        </w:rPr>
        <w:t>Результаты и их обсуждение.</w:t>
      </w:r>
      <w:r w:rsidRPr="00E768DF">
        <w:rPr>
          <w:spacing w:val="-2"/>
          <w:sz w:val="28"/>
          <w:szCs w:val="28"/>
          <w:lang w:val="ru-RU"/>
        </w:rPr>
        <w:t xml:space="preserve"> Кровотечение с объемом кровопотери 700-800 мл зарегистрировано у 7 женщин основной группы и у 6 – группы сравнения, с объемом кровопотери 800-900 мл – у 6 и 4 женщин, с кровопотерей 900-1000 мл – у 1 и 7 женщин соответственно. Установлено значимое различие исходов (кровопотеря – 900-1000 мл) в зависимости от применения </w:t>
      </w:r>
      <w:proofErr w:type="spellStart"/>
      <w:r w:rsidRPr="00E768DF">
        <w:rPr>
          <w:spacing w:val="-2"/>
          <w:sz w:val="28"/>
          <w:szCs w:val="28"/>
          <w:lang w:val="ru-RU"/>
        </w:rPr>
        <w:t>транексамовой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кислоты (точный критерий Фишера – 0,04537; </w:t>
      </w:r>
      <w:proofErr w:type="spellStart"/>
      <w:proofErr w:type="gramStart"/>
      <w:r w:rsidRPr="00E768DF">
        <w:rPr>
          <w:spacing w:val="-2"/>
          <w:sz w:val="28"/>
          <w:szCs w:val="28"/>
          <w:lang w:val="ru-RU"/>
        </w:rPr>
        <w:t>р</w:t>
      </w:r>
      <w:proofErr w:type="spellEnd"/>
      <w:proofErr w:type="gramEnd"/>
      <w:r w:rsidRPr="00E768DF">
        <w:rPr>
          <w:spacing w:val="-2"/>
          <w:sz w:val="28"/>
          <w:szCs w:val="28"/>
          <w:lang w:val="ru-RU"/>
        </w:rPr>
        <w:t xml:space="preserve">&lt;0,05). Оценка </w:t>
      </w:r>
      <w:proofErr w:type="gramStart"/>
      <w:r w:rsidRPr="00E768DF">
        <w:rPr>
          <w:spacing w:val="-2"/>
          <w:sz w:val="28"/>
          <w:szCs w:val="28"/>
          <w:lang w:val="ru-RU"/>
        </w:rPr>
        <w:t>силы связи частоты усугубления кровотечения</w:t>
      </w:r>
      <w:proofErr w:type="gramEnd"/>
      <w:r w:rsidRPr="00E768DF">
        <w:rPr>
          <w:spacing w:val="-2"/>
          <w:sz w:val="28"/>
          <w:szCs w:val="28"/>
          <w:lang w:val="ru-RU"/>
        </w:rPr>
        <w:t xml:space="preserve"> и применения </w:t>
      </w:r>
      <w:proofErr w:type="spellStart"/>
      <w:r w:rsidRPr="00E768DF">
        <w:rPr>
          <w:spacing w:val="-2"/>
          <w:sz w:val="28"/>
          <w:szCs w:val="28"/>
          <w:lang w:val="ru-RU"/>
        </w:rPr>
        <w:t>транексамовой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кислоты с целью профилактики массивных кровотечений установила связь средней силы (критерий </w:t>
      </w:r>
      <w:proofErr w:type="spellStart"/>
      <w:r w:rsidRPr="00E768DF">
        <w:rPr>
          <w:spacing w:val="-2"/>
          <w:sz w:val="28"/>
          <w:szCs w:val="28"/>
          <w:lang w:val="ru-RU"/>
        </w:rPr>
        <w:t>Крамера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– 0,387). </w:t>
      </w:r>
      <w:proofErr w:type="gramStart"/>
      <w:r w:rsidRPr="00E768DF">
        <w:rPr>
          <w:spacing w:val="-2"/>
          <w:sz w:val="28"/>
          <w:szCs w:val="28"/>
          <w:lang w:val="ru-RU"/>
        </w:rPr>
        <w:t xml:space="preserve">Беременные с тяжелыми </w:t>
      </w:r>
      <w:proofErr w:type="spellStart"/>
      <w:r w:rsidRPr="00E768DF">
        <w:rPr>
          <w:spacing w:val="-2"/>
          <w:sz w:val="28"/>
          <w:szCs w:val="28"/>
          <w:lang w:val="ru-RU"/>
        </w:rPr>
        <w:t>преэклампсиями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составляют группу риска по развитию акушерских кровотечений, что связано с вторичными изменениями системы гемостаза у женщин с </w:t>
      </w:r>
      <w:proofErr w:type="spellStart"/>
      <w:r w:rsidRPr="00E768DF">
        <w:rPr>
          <w:spacing w:val="-2"/>
          <w:sz w:val="28"/>
          <w:szCs w:val="28"/>
          <w:lang w:val="ru-RU"/>
        </w:rPr>
        <w:t>преэклампсиями</w:t>
      </w:r>
      <w:proofErr w:type="spellEnd"/>
      <w:r w:rsidRPr="00E768DF">
        <w:rPr>
          <w:spacing w:val="-2"/>
          <w:sz w:val="28"/>
          <w:szCs w:val="28"/>
          <w:lang w:val="ru-RU"/>
        </w:rPr>
        <w:t>.</w:t>
      </w:r>
      <w:proofErr w:type="gramEnd"/>
      <w:r w:rsidRPr="00E768DF">
        <w:rPr>
          <w:spacing w:val="-2"/>
          <w:sz w:val="28"/>
          <w:szCs w:val="28"/>
          <w:lang w:val="ru-RU"/>
        </w:rPr>
        <w:t xml:space="preserve"> При акушерских кровотечениях у женщин с </w:t>
      </w:r>
      <w:proofErr w:type="spellStart"/>
      <w:r w:rsidRPr="00E768DF">
        <w:rPr>
          <w:spacing w:val="-2"/>
          <w:sz w:val="28"/>
          <w:szCs w:val="28"/>
          <w:lang w:val="ru-RU"/>
        </w:rPr>
        <w:t>преэклампсиями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равновесие между </w:t>
      </w:r>
      <w:proofErr w:type="gramStart"/>
      <w:r w:rsidRPr="00E768DF">
        <w:rPr>
          <w:spacing w:val="-2"/>
          <w:sz w:val="28"/>
          <w:szCs w:val="28"/>
          <w:lang w:val="ru-RU"/>
        </w:rPr>
        <w:t>свертывающей</w:t>
      </w:r>
      <w:proofErr w:type="gramEnd"/>
      <w:r w:rsidRPr="00E768DF">
        <w:rPr>
          <w:spacing w:val="-2"/>
          <w:sz w:val="28"/>
          <w:szCs w:val="28"/>
          <w:lang w:val="ru-RU"/>
        </w:rPr>
        <w:t xml:space="preserve">, </w:t>
      </w:r>
      <w:proofErr w:type="spellStart"/>
      <w:r w:rsidRPr="00E768DF">
        <w:rPr>
          <w:spacing w:val="-2"/>
          <w:sz w:val="28"/>
          <w:szCs w:val="28"/>
          <w:lang w:val="ru-RU"/>
        </w:rPr>
        <w:t>антисвертывающей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и </w:t>
      </w:r>
      <w:proofErr w:type="spellStart"/>
      <w:r w:rsidRPr="00E768DF">
        <w:rPr>
          <w:spacing w:val="-2"/>
          <w:sz w:val="28"/>
          <w:szCs w:val="28"/>
          <w:lang w:val="ru-RU"/>
        </w:rPr>
        <w:t>фибринолитической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системами нарушается быстрее. </w:t>
      </w:r>
      <w:proofErr w:type="spellStart"/>
      <w:r w:rsidRPr="00E768DF">
        <w:rPr>
          <w:spacing w:val="-2"/>
          <w:sz w:val="28"/>
          <w:szCs w:val="28"/>
          <w:lang w:val="ru-RU"/>
        </w:rPr>
        <w:t>Фибринолиз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активизируется быстрее ввиду ограничения </w:t>
      </w:r>
      <w:proofErr w:type="spellStart"/>
      <w:r w:rsidRPr="00E768DF">
        <w:rPr>
          <w:spacing w:val="-2"/>
          <w:sz w:val="28"/>
          <w:szCs w:val="28"/>
          <w:lang w:val="ru-RU"/>
        </w:rPr>
        <w:t>тромбообразования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из-за распада фибрина в тромбах и </w:t>
      </w:r>
      <w:proofErr w:type="spellStart"/>
      <w:r w:rsidRPr="00E768DF">
        <w:rPr>
          <w:spacing w:val="-2"/>
          <w:sz w:val="28"/>
          <w:szCs w:val="28"/>
          <w:lang w:val="ru-RU"/>
        </w:rPr>
        <w:t>фибринолитических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свойств самих продуктов распада фибрина. Применение </w:t>
      </w:r>
      <w:proofErr w:type="spellStart"/>
      <w:r w:rsidRPr="00E768DF">
        <w:rPr>
          <w:spacing w:val="-2"/>
          <w:sz w:val="28"/>
          <w:szCs w:val="28"/>
          <w:lang w:val="ru-RU"/>
        </w:rPr>
        <w:t>транексамовой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кислоты при акушерских кровотечениях обосновано </w:t>
      </w:r>
      <w:proofErr w:type="spellStart"/>
      <w:r w:rsidRPr="00E768DF">
        <w:rPr>
          <w:spacing w:val="-2"/>
          <w:sz w:val="28"/>
          <w:szCs w:val="28"/>
          <w:lang w:val="ru-RU"/>
        </w:rPr>
        <w:t>антифибринолизным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эффектом препарата. Дальнейшие исследования по использованию </w:t>
      </w:r>
      <w:proofErr w:type="spellStart"/>
      <w:r w:rsidRPr="00E768DF">
        <w:rPr>
          <w:spacing w:val="-2"/>
          <w:sz w:val="28"/>
          <w:szCs w:val="28"/>
          <w:lang w:val="ru-RU"/>
        </w:rPr>
        <w:t>транексамовой</w:t>
      </w:r>
      <w:proofErr w:type="spellEnd"/>
      <w:r w:rsidRPr="00E768DF">
        <w:rPr>
          <w:spacing w:val="-2"/>
          <w:sz w:val="28"/>
          <w:szCs w:val="28"/>
          <w:lang w:val="ru-RU"/>
        </w:rPr>
        <w:t xml:space="preserve"> кислоты с целью профилактики массивных кровотечений, подтвержденные лабораторными данными, являются весьма актуальными.</w:t>
      </w:r>
    </w:p>
    <w:p w:rsidR="00A669DD" w:rsidRPr="00995A3D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  <w:r w:rsidRPr="00995A3D">
        <w:rPr>
          <w:b/>
          <w:sz w:val="28"/>
          <w:szCs w:val="28"/>
          <w:lang w:val="ru-RU"/>
        </w:rPr>
        <w:lastRenderedPageBreak/>
        <w:t>Выводы</w:t>
      </w:r>
      <w:r w:rsidRPr="00E86C25">
        <w:rPr>
          <w:b/>
          <w:sz w:val="28"/>
          <w:szCs w:val="28"/>
          <w:lang w:val="ru-RU"/>
        </w:rPr>
        <w:t>.</w:t>
      </w:r>
      <w:r w:rsidRPr="00995A3D">
        <w:rPr>
          <w:sz w:val="28"/>
          <w:szCs w:val="28"/>
          <w:lang w:val="ru-RU"/>
        </w:rPr>
        <w:t xml:space="preserve"> Применение </w:t>
      </w:r>
      <w:proofErr w:type="spellStart"/>
      <w:r w:rsidRPr="00995A3D">
        <w:rPr>
          <w:sz w:val="28"/>
          <w:szCs w:val="28"/>
          <w:lang w:val="ru-RU"/>
        </w:rPr>
        <w:t>транексамовой</w:t>
      </w:r>
      <w:proofErr w:type="spellEnd"/>
      <w:r w:rsidRPr="00995A3D">
        <w:rPr>
          <w:sz w:val="28"/>
          <w:szCs w:val="28"/>
          <w:lang w:val="ru-RU"/>
        </w:rPr>
        <w:t xml:space="preserve"> кислоты </w:t>
      </w:r>
      <w:r>
        <w:rPr>
          <w:sz w:val="28"/>
          <w:szCs w:val="28"/>
          <w:lang w:val="ru-RU"/>
        </w:rPr>
        <w:t>при</w:t>
      </w:r>
      <w:r w:rsidRPr="00995A3D">
        <w:rPr>
          <w:sz w:val="28"/>
          <w:szCs w:val="28"/>
          <w:lang w:val="ru-RU"/>
        </w:rPr>
        <w:t xml:space="preserve"> акушерских кровотечени</w:t>
      </w:r>
      <w:r>
        <w:rPr>
          <w:sz w:val="28"/>
          <w:szCs w:val="28"/>
          <w:lang w:val="ru-RU"/>
        </w:rPr>
        <w:t>ях</w:t>
      </w:r>
      <w:r w:rsidRPr="00995A3D">
        <w:rPr>
          <w:sz w:val="28"/>
          <w:szCs w:val="28"/>
          <w:lang w:val="ru-RU"/>
        </w:rPr>
        <w:t xml:space="preserve"> у женщин с факторами риска вторичных </w:t>
      </w:r>
      <w:proofErr w:type="spellStart"/>
      <w:r w:rsidRPr="00995A3D">
        <w:rPr>
          <w:sz w:val="28"/>
          <w:szCs w:val="28"/>
          <w:lang w:val="ru-RU"/>
        </w:rPr>
        <w:t>тромбоцитопатий</w:t>
      </w:r>
      <w:proofErr w:type="spellEnd"/>
      <w:r w:rsidRPr="00995A3D">
        <w:rPr>
          <w:sz w:val="28"/>
          <w:szCs w:val="28"/>
          <w:lang w:val="ru-RU"/>
        </w:rPr>
        <w:t xml:space="preserve"> препятств</w:t>
      </w:r>
      <w:r>
        <w:rPr>
          <w:sz w:val="28"/>
          <w:szCs w:val="28"/>
          <w:lang w:val="ru-RU"/>
        </w:rPr>
        <w:t>ует</w:t>
      </w:r>
      <w:r w:rsidRPr="00995A3D">
        <w:rPr>
          <w:sz w:val="28"/>
          <w:szCs w:val="28"/>
          <w:lang w:val="ru-RU"/>
        </w:rPr>
        <w:t xml:space="preserve"> усугублению </w:t>
      </w:r>
      <w:proofErr w:type="spellStart"/>
      <w:r w:rsidRPr="00995A3D">
        <w:rPr>
          <w:sz w:val="28"/>
          <w:szCs w:val="28"/>
          <w:lang w:val="ru-RU"/>
        </w:rPr>
        <w:t>коагулопатии</w:t>
      </w:r>
      <w:proofErr w:type="spellEnd"/>
      <w:r w:rsidRPr="00995A3D">
        <w:rPr>
          <w:sz w:val="28"/>
          <w:szCs w:val="28"/>
          <w:lang w:val="ru-RU"/>
        </w:rPr>
        <w:t xml:space="preserve"> и снижа</w:t>
      </w:r>
      <w:r>
        <w:rPr>
          <w:sz w:val="28"/>
          <w:szCs w:val="28"/>
          <w:lang w:val="ru-RU"/>
        </w:rPr>
        <w:t>е</w:t>
      </w:r>
      <w:r w:rsidRPr="00995A3D">
        <w:rPr>
          <w:sz w:val="28"/>
          <w:szCs w:val="28"/>
          <w:lang w:val="ru-RU"/>
        </w:rPr>
        <w:t xml:space="preserve">т частоту массивных акушерских кровотечений, обусловленных </w:t>
      </w:r>
      <w:proofErr w:type="spellStart"/>
      <w:r w:rsidRPr="00995A3D">
        <w:rPr>
          <w:sz w:val="28"/>
          <w:szCs w:val="28"/>
          <w:lang w:val="ru-RU"/>
        </w:rPr>
        <w:t>ДВС-синдромом</w:t>
      </w:r>
      <w:proofErr w:type="spellEnd"/>
      <w:r w:rsidRPr="00995A3D">
        <w:rPr>
          <w:sz w:val="28"/>
          <w:szCs w:val="28"/>
          <w:lang w:val="ru-RU"/>
        </w:rPr>
        <w:t>.</w:t>
      </w:r>
    </w:p>
    <w:p w:rsidR="00A669DD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r w:rsidRPr="00995A3D">
        <w:rPr>
          <w:b/>
          <w:sz w:val="28"/>
          <w:szCs w:val="28"/>
          <w:lang w:val="ru-RU"/>
        </w:rPr>
        <w:t>Ключевые слова:</w:t>
      </w:r>
      <w:r w:rsidRPr="00995A3D">
        <w:rPr>
          <w:sz w:val="28"/>
          <w:szCs w:val="28"/>
          <w:lang w:val="ru-RU"/>
        </w:rPr>
        <w:t xml:space="preserve"> акушерские кровотечения, тяжелая </w:t>
      </w:r>
      <w:proofErr w:type="spellStart"/>
      <w:r w:rsidRPr="00995A3D">
        <w:rPr>
          <w:sz w:val="28"/>
          <w:szCs w:val="28"/>
          <w:lang w:val="ru-RU"/>
        </w:rPr>
        <w:t>преэклампсия</w:t>
      </w:r>
      <w:proofErr w:type="spellEnd"/>
      <w:r w:rsidRPr="00995A3D">
        <w:rPr>
          <w:sz w:val="28"/>
          <w:szCs w:val="28"/>
          <w:lang w:val="ru-RU"/>
        </w:rPr>
        <w:t xml:space="preserve">, профилактика массивных кровотечений, </w:t>
      </w:r>
      <w:proofErr w:type="spellStart"/>
      <w:r w:rsidRPr="00995A3D">
        <w:rPr>
          <w:sz w:val="28"/>
          <w:szCs w:val="28"/>
          <w:lang w:val="ru-RU"/>
        </w:rPr>
        <w:t>транексамовая</w:t>
      </w:r>
      <w:proofErr w:type="spellEnd"/>
      <w:r w:rsidRPr="00995A3D">
        <w:rPr>
          <w:sz w:val="28"/>
          <w:szCs w:val="28"/>
          <w:lang w:val="ru-RU"/>
        </w:rPr>
        <w:t xml:space="preserve"> кислота.</w:t>
      </w:r>
    </w:p>
    <w:p w:rsidR="00A669DD" w:rsidRDefault="00A669DD" w:rsidP="00A669DD">
      <w:pPr>
        <w:spacing w:after="120" w:line="276" w:lineRule="auto"/>
        <w:ind w:firstLine="0"/>
        <w:jc w:val="both"/>
      </w:pPr>
      <w:r>
        <w:rPr>
          <w:i/>
          <w:color w:val="000000"/>
          <w:sz w:val="28"/>
          <w:szCs w:val="28"/>
        </w:rPr>
        <w:t xml:space="preserve">* </w:t>
      </w:r>
      <w:proofErr w:type="spellStart"/>
      <w:r>
        <w:rPr>
          <w:i/>
          <w:color w:val="000000"/>
          <w:sz w:val="28"/>
          <w:szCs w:val="28"/>
        </w:rPr>
        <w:t>Тезисы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Конгресса</w:t>
      </w:r>
      <w:proofErr w:type="spellEnd"/>
      <w:r>
        <w:rPr>
          <w:i/>
          <w:color w:val="000000"/>
          <w:sz w:val="28"/>
          <w:szCs w:val="28"/>
        </w:rPr>
        <w:t xml:space="preserve"> по </w:t>
      </w:r>
      <w:proofErr w:type="spellStart"/>
      <w:r>
        <w:rPr>
          <w:i/>
          <w:color w:val="000000"/>
          <w:sz w:val="28"/>
          <w:szCs w:val="28"/>
        </w:rPr>
        <w:t>инфузионной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терапии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опубликованы</w:t>
      </w:r>
      <w:proofErr w:type="spellEnd"/>
      <w:r>
        <w:rPr>
          <w:i/>
          <w:color w:val="000000"/>
          <w:sz w:val="28"/>
          <w:szCs w:val="28"/>
        </w:rPr>
        <w:t xml:space="preserve"> в </w:t>
      </w:r>
      <w:proofErr w:type="spellStart"/>
      <w:r>
        <w:rPr>
          <w:i/>
          <w:color w:val="000000"/>
          <w:sz w:val="28"/>
          <w:szCs w:val="28"/>
        </w:rPr>
        <w:t>журнале</w:t>
      </w:r>
      <w:proofErr w:type="spellEnd"/>
      <w:r>
        <w:rPr>
          <w:i/>
          <w:color w:val="000000"/>
          <w:sz w:val="28"/>
          <w:szCs w:val="28"/>
        </w:rPr>
        <w:t xml:space="preserve"> «</w:t>
      </w:r>
      <w:proofErr w:type="spellStart"/>
      <w:r>
        <w:fldChar w:fldCharType="begin"/>
      </w:r>
      <w:r>
        <w:instrText xml:space="preserve"> HYPERLINK "https://infusion-chemotherapy.com/index.php/journal/issue/view/5"</w:instrText>
      </w:r>
      <w:r>
        <w:fldChar w:fldCharType="separate"/>
      </w:r>
      <w:r>
        <w:rPr>
          <w:rStyle w:val="a3"/>
          <w:i/>
          <w:sz w:val="28"/>
          <w:szCs w:val="28"/>
        </w:rPr>
        <w:t>Инфузия</w:t>
      </w:r>
      <w:proofErr w:type="spellEnd"/>
      <w:r>
        <w:rPr>
          <w:rStyle w:val="a3"/>
          <w:i/>
          <w:sz w:val="28"/>
          <w:szCs w:val="28"/>
        </w:rPr>
        <w:t xml:space="preserve"> &amp; </w:t>
      </w:r>
      <w:proofErr w:type="spellStart"/>
      <w:r>
        <w:rPr>
          <w:rStyle w:val="a3"/>
          <w:i/>
          <w:sz w:val="28"/>
          <w:szCs w:val="28"/>
        </w:rPr>
        <w:t>Химиотерапия</w:t>
      </w:r>
      <w:proofErr w:type="spellEnd"/>
      <w:r>
        <w:fldChar w:fldCharType="end"/>
      </w:r>
      <w:r>
        <w:rPr>
          <w:i/>
          <w:color w:val="000000"/>
          <w:sz w:val="28"/>
          <w:szCs w:val="28"/>
        </w:rPr>
        <w:t>».</w:t>
      </w:r>
    </w:p>
    <w:p w:rsidR="00A669DD" w:rsidRPr="00704A33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ru-RU"/>
        </w:rPr>
      </w:pPr>
    </w:p>
    <w:p w:rsidR="00A669DD" w:rsidRPr="00E86C25" w:rsidRDefault="00A669DD" w:rsidP="00A669DD">
      <w:pPr>
        <w:spacing w:after="120" w:line="276" w:lineRule="auto"/>
        <w:ind w:firstLine="0"/>
        <w:jc w:val="both"/>
        <w:rPr>
          <w:b/>
          <w:sz w:val="32"/>
          <w:szCs w:val="28"/>
          <w:lang w:val="en-US"/>
        </w:rPr>
      </w:pPr>
      <w:r w:rsidRPr="00E86C25">
        <w:rPr>
          <w:b/>
          <w:sz w:val="32"/>
          <w:szCs w:val="28"/>
          <w:lang w:val="en-US"/>
        </w:rPr>
        <w:t xml:space="preserve">Results of prevention of massive postural bleeding in women with </w:t>
      </w:r>
      <w:proofErr w:type="spellStart"/>
      <w:r w:rsidRPr="00E86C25">
        <w:rPr>
          <w:b/>
          <w:sz w:val="32"/>
          <w:szCs w:val="28"/>
          <w:lang w:val="en-US"/>
        </w:rPr>
        <w:t>preeclampsy</w:t>
      </w:r>
      <w:proofErr w:type="spellEnd"/>
    </w:p>
    <w:p w:rsidR="00A669DD" w:rsidRPr="00E86C25" w:rsidRDefault="00A669DD" w:rsidP="00A669DD">
      <w:pPr>
        <w:spacing w:after="120" w:line="276" w:lineRule="auto"/>
        <w:ind w:firstLine="0"/>
        <w:jc w:val="both"/>
        <w:rPr>
          <w:b/>
          <w:sz w:val="26"/>
          <w:szCs w:val="26"/>
          <w:lang w:val="en-US"/>
        </w:rPr>
      </w:pPr>
      <w:proofErr w:type="spellStart"/>
      <w:r w:rsidRPr="00E86C25">
        <w:rPr>
          <w:b/>
          <w:sz w:val="26"/>
          <w:szCs w:val="26"/>
          <w:lang w:val="en-US"/>
        </w:rPr>
        <w:t>Kamilova</w:t>
      </w:r>
      <w:proofErr w:type="spellEnd"/>
      <w:r w:rsidRPr="00E86C25">
        <w:rPr>
          <w:b/>
          <w:sz w:val="26"/>
          <w:szCs w:val="26"/>
          <w:lang w:val="en-US"/>
        </w:rPr>
        <w:t xml:space="preserve"> </w:t>
      </w:r>
      <w:proofErr w:type="spellStart"/>
      <w:r w:rsidRPr="00E86C25">
        <w:rPr>
          <w:b/>
          <w:sz w:val="26"/>
          <w:szCs w:val="26"/>
          <w:lang w:val="en-US"/>
        </w:rPr>
        <w:t>M.Ya</w:t>
      </w:r>
      <w:proofErr w:type="spellEnd"/>
      <w:r w:rsidRPr="00E86C25">
        <w:rPr>
          <w:b/>
          <w:sz w:val="26"/>
          <w:szCs w:val="26"/>
          <w:lang w:val="en-US"/>
        </w:rPr>
        <w:t xml:space="preserve">., </w:t>
      </w:r>
      <w:proofErr w:type="spellStart"/>
      <w:r w:rsidRPr="00E86C25">
        <w:rPr>
          <w:b/>
          <w:sz w:val="26"/>
          <w:szCs w:val="26"/>
          <w:lang w:val="en-US"/>
        </w:rPr>
        <w:t>Amin-Zade</w:t>
      </w:r>
      <w:proofErr w:type="spellEnd"/>
      <w:r w:rsidRPr="00E86C25">
        <w:rPr>
          <w:b/>
          <w:sz w:val="26"/>
          <w:szCs w:val="26"/>
          <w:lang w:val="en-US"/>
        </w:rPr>
        <w:t xml:space="preserve"> N.</w:t>
      </w:r>
    </w:p>
    <w:p w:rsidR="00A669DD" w:rsidRPr="00E86C25" w:rsidRDefault="00A669DD" w:rsidP="00A669DD">
      <w:pPr>
        <w:spacing w:after="120" w:line="276" w:lineRule="auto"/>
        <w:ind w:firstLine="0"/>
        <w:jc w:val="both"/>
        <w:rPr>
          <w:sz w:val="26"/>
          <w:szCs w:val="26"/>
          <w:lang w:val="en-US"/>
        </w:rPr>
      </w:pPr>
      <w:r w:rsidRPr="00E86C25">
        <w:rPr>
          <w:sz w:val="26"/>
          <w:szCs w:val="26"/>
          <w:lang w:val="en-US"/>
        </w:rPr>
        <w:t xml:space="preserve">State Institution “Scientific Research Institute of Obstetrics, Gynecology and </w:t>
      </w:r>
      <w:proofErr w:type="spellStart"/>
      <w:r w:rsidRPr="00E86C25">
        <w:rPr>
          <w:sz w:val="26"/>
          <w:szCs w:val="26"/>
          <w:lang w:val="en-US"/>
        </w:rPr>
        <w:t>Perinatology</w:t>
      </w:r>
      <w:proofErr w:type="spellEnd"/>
      <w:r w:rsidRPr="00E86C25">
        <w:rPr>
          <w:sz w:val="26"/>
          <w:szCs w:val="26"/>
          <w:lang w:val="en-US"/>
        </w:rPr>
        <w:t xml:space="preserve"> of the Ministry of Health and Social Protection of the Population of the Republic of Tajikistan”, </w:t>
      </w:r>
      <w:smartTag w:uri="urn:schemas-microsoft-com:office:smarttags" w:element="metricconverter">
        <w:smartTagPr>
          <w:attr w:name="ProductID" w:val="7, in"/>
        </w:smartTagPr>
        <w:smartTag w:uri="urn:schemas-microsoft-com:office:smarttags" w:element="metricconverter">
          <w:smartTagPr>
            <w:attr w:name="ProductID" w:val="7, in"/>
          </w:smartTagPr>
          <w:r w:rsidRPr="00E86C25">
            <w:rPr>
              <w:color w:val="222222"/>
              <w:sz w:val="26"/>
              <w:szCs w:val="26"/>
              <w:lang w:val="en-US"/>
            </w:rPr>
            <w:t>Dushanbe</w:t>
          </w:r>
        </w:smartTag>
        <w:r w:rsidRPr="00E86C25">
          <w:rPr>
            <w:color w:val="222222"/>
            <w:sz w:val="26"/>
            <w:szCs w:val="26"/>
            <w:lang w:val="en-US"/>
          </w:rPr>
          <w:t xml:space="preserve">, </w:t>
        </w:r>
        <w:smartTag w:uri="urn:schemas-microsoft-com:office:smarttags" w:element="metricconverter">
          <w:smartTagPr>
            <w:attr w:name="ProductID" w:val="7, in"/>
          </w:smartTagPr>
          <w:r w:rsidRPr="00E86C25">
            <w:rPr>
              <w:color w:val="222222"/>
              <w:sz w:val="26"/>
              <w:szCs w:val="26"/>
              <w:lang w:val="en-US"/>
            </w:rPr>
            <w:t>Tajikistan</w:t>
          </w:r>
        </w:smartTag>
      </w:smartTag>
    </w:p>
    <w:p w:rsidR="00A669DD" w:rsidRPr="00995A3D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995A3D">
        <w:rPr>
          <w:b/>
          <w:sz w:val="28"/>
          <w:szCs w:val="28"/>
          <w:lang w:val="en-US"/>
        </w:rPr>
        <w:t>Objective.</w:t>
      </w:r>
      <w:proofErr w:type="gramEnd"/>
      <w:r w:rsidRPr="00995A3D">
        <w:rPr>
          <w:sz w:val="28"/>
          <w:szCs w:val="28"/>
          <w:lang w:val="en-US"/>
        </w:rPr>
        <w:t xml:space="preserve"> </w:t>
      </w:r>
      <w:proofErr w:type="gramStart"/>
      <w:r w:rsidRPr="00995A3D">
        <w:rPr>
          <w:sz w:val="28"/>
          <w:szCs w:val="28"/>
          <w:lang w:val="en-US"/>
        </w:rPr>
        <w:t xml:space="preserve">To evaluate the effectiveness of a </w:t>
      </w:r>
      <w:proofErr w:type="spellStart"/>
      <w:r w:rsidRPr="00995A3D">
        <w:rPr>
          <w:sz w:val="28"/>
          <w:szCs w:val="28"/>
          <w:lang w:val="en-US"/>
        </w:rPr>
        <w:t>tranexamic</w:t>
      </w:r>
      <w:proofErr w:type="spellEnd"/>
      <w:r w:rsidRPr="00995A3D">
        <w:rPr>
          <w:sz w:val="28"/>
          <w:szCs w:val="28"/>
          <w:lang w:val="en-US"/>
        </w:rPr>
        <w:t xml:space="preserve"> acid for the prevention of critical bleeding in women with preeclampsia.</w:t>
      </w:r>
      <w:proofErr w:type="gramEnd"/>
    </w:p>
    <w:p w:rsidR="00A669DD" w:rsidRPr="006D46DB" w:rsidRDefault="00A669DD" w:rsidP="00A669DD">
      <w:pPr>
        <w:spacing w:after="120" w:line="276" w:lineRule="auto"/>
        <w:ind w:firstLine="709"/>
        <w:jc w:val="both"/>
        <w:rPr>
          <w:spacing w:val="-4"/>
          <w:sz w:val="28"/>
          <w:szCs w:val="28"/>
          <w:lang w:val="en-US"/>
        </w:rPr>
      </w:pPr>
      <w:proofErr w:type="gramStart"/>
      <w:r w:rsidRPr="006D46DB">
        <w:rPr>
          <w:b/>
          <w:spacing w:val="-4"/>
          <w:sz w:val="28"/>
          <w:szCs w:val="28"/>
          <w:lang w:val="en-US"/>
        </w:rPr>
        <w:t>Materials and methods.</w:t>
      </w:r>
      <w:proofErr w:type="gramEnd"/>
      <w:r w:rsidRPr="006D46DB">
        <w:rPr>
          <w:spacing w:val="-4"/>
          <w:sz w:val="28"/>
          <w:szCs w:val="28"/>
          <w:lang w:val="en-US"/>
        </w:rPr>
        <w:t xml:space="preserve"> </w:t>
      </w:r>
      <w:proofErr w:type="gramStart"/>
      <w:r w:rsidRPr="006D46DB">
        <w:rPr>
          <w:spacing w:val="-4"/>
          <w:sz w:val="28"/>
          <w:szCs w:val="28"/>
          <w:lang w:val="en-US"/>
        </w:rPr>
        <w:t xml:space="preserve">31 </w:t>
      </w:r>
      <w:proofErr w:type="spellStart"/>
      <w:r w:rsidRPr="006D46DB">
        <w:rPr>
          <w:spacing w:val="-4"/>
          <w:sz w:val="28"/>
          <w:szCs w:val="28"/>
          <w:lang w:val="en-US"/>
        </w:rPr>
        <w:t>puerperas</w:t>
      </w:r>
      <w:proofErr w:type="spellEnd"/>
      <w:r w:rsidRPr="006D46DB">
        <w:rPr>
          <w:spacing w:val="-4"/>
          <w:sz w:val="28"/>
          <w:szCs w:val="28"/>
          <w:lang w:val="en-US"/>
        </w:rPr>
        <w:t xml:space="preserve"> with postpartum hypotonic bleeding.</w:t>
      </w:r>
      <w:proofErr w:type="gramEnd"/>
      <w:r w:rsidRPr="006D46DB">
        <w:rPr>
          <w:spacing w:val="-4"/>
          <w:sz w:val="28"/>
          <w:szCs w:val="28"/>
          <w:lang w:val="en-US"/>
        </w:rPr>
        <w:t xml:space="preserve"> Inclusion criteria: reproductive age, severe preeclampsia, postpartum hemorrhage, volume of blood loss – 700 ml, voluntary consent to the administration of the </w:t>
      </w:r>
      <w:proofErr w:type="spellStart"/>
      <w:r w:rsidRPr="006D46DB">
        <w:rPr>
          <w:spacing w:val="-4"/>
          <w:sz w:val="28"/>
          <w:szCs w:val="28"/>
          <w:lang w:val="en-US"/>
        </w:rPr>
        <w:t>tranexamic</w:t>
      </w:r>
      <w:proofErr w:type="spellEnd"/>
      <w:r w:rsidRPr="006D46DB">
        <w:rPr>
          <w:spacing w:val="-4"/>
          <w:sz w:val="28"/>
          <w:szCs w:val="28"/>
          <w:lang w:val="en-US"/>
        </w:rPr>
        <w:t xml:space="preserve"> acid. Exclusion criteria: delivery by the caesarean section. When providing emergency care, along with other standard measures, 14 women (the main group) </w:t>
      </w:r>
      <w:proofErr w:type="gramStart"/>
      <w:r w:rsidRPr="006D46DB">
        <w:rPr>
          <w:spacing w:val="-4"/>
          <w:sz w:val="28"/>
          <w:szCs w:val="28"/>
          <w:lang w:val="en-US"/>
        </w:rPr>
        <w:t>were</w:t>
      </w:r>
      <w:proofErr w:type="gramEnd"/>
      <w:r w:rsidRPr="006D46DB">
        <w:rPr>
          <w:spacing w:val="-4"/>
          <w:sz w:val="28"/>
          <w:szCs w:val="28"/>
          <w:lang w:val="en-US"/>
        </w:rPr>
        <w:t xml:space="preserve"> injected with the </w:t>
      </w:r>
      <w:proofErr w:type="spellStart"/>
      <w:r w:rsidRPr="006D46DB">
        <w:rPr>
          <w:spacing w:val="-4"/>
          <w:sz w:val="28"/>
          <w:szCs w:val="28"/>
          <w:lang w:val="en-US"/>
        </w:rPr>
        <w:t>tranexamic</w:t>
      </w:r>
      <w:proofErr w:type="spellEnd"/>
      <w:r w:rsidRPr="006D46DB">
        <w:rPr>
          <w:spacing w:val="-4"/>
          <w:sz w:val="28"/>
          <w:szCs w:val="28"/>
          <w:lang w:val="en-US"/>
        </w:rPr>
        <w:t xml:space="preserve"> acid when blood loss reached 700 ml, 17 women (the comparison group) did not receive the </w:t>
      </w:r>
      <w:proofErr w:type="spellStart"/>
      <w:r w:rsidRPr="006D46DB">
        <w:rPr>
          <w:spacing w:val="-4"/>
          <w:sz w:val="28"/>
          <w:szCs w:val="28"/>
          <w:lang w:val="en-US"/>
        </w:rPr>
        <w:t>tranexamic</w:t>
      </w:r>
      <w:proofErr w:type="spellEnd"/>
      <w:r w:rsidRPr="006D46DB">
        <w:rPr>
          <w:spacing w:val="-4"/>
          <w:sz w:val="28"/>
          <w:szCs w:val="28"/>
          <w:lang w:val="en-US"/>
        </w:rPr>
        <w:t xml:space="preserve"> acid. Research methods: measurement of the volume of blood loss (by the calculation method and by the method of measuring blood loss), statistical analysis – comparison of populations by qualitative characteristics.</w:t>
      </w:r>
    </w:p>
    <w:p w:rsidR="00A669DD" w:rsidRPr="00E768DF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E768DF">
        <w:rPr>
          <w:b/>
          <w:sz w:val="28"/>
          <w:szCs w:val="28"/>
          <w:lang w:val="en-US"/>
        </w:rPr>
        <w:t>Results and discussion.</w:t>
      </w:r>
      <w:proofErr w:type="gramEnd"/>
      <w:r w:rsidRPr="00E768DF">
        <w:rPr>
          <w:sz w:val="28"/>
          <w:szCs w:val="28"/>
          <w:lang w:val="en-US"/>
        </w:rPr>
        <w:t xml:space="preserve"> A bleeding with a blood loss of 700-800 ml was registered in 7 women of the main group and in 6 women of the comparison group, with a blood loss of 800-900 ml – in 6 and 4 women, with the blood loss 900-1000 ml – in 1 and 7 women, respectively. There was a significant difference in outcomes (blood loss – 900-1000 ml) depending on the use of the </w:t>
      </w:r>
      <w:proofErr w:type="spellStart"/>
      <w:r w:rsidRPr="00E768DF">
        <w:rPr>
          <w:sz w:val="28"/>
          <w:szCs w:val="28"/>
          <w:lang w:val="en-US"/>
        </w:rPr>
        <w:t>tranexamic</w:t>
      </w:r>
      <w:proofErr w:type="spellEnd"/>
      <w:r w:rsidRPr="00E768DF">
        <w:rPr>
          <w:sz w:val="28"/>
          <w:szCs w:val="28"/>
          <w:lang w:val="en-US"/>
        </w:rPr>
        <w:t xml:space="preserve"> acid (Fisher’s exact test – 0.04537; p&lt;0.05). Evaluation of the strength of the relationship between the frequency of aggravation of bleeding and the use of the </w:t>
      </w:r>
      <w:proofErr w:type="spellStart"/>
      <w:r w:rsidRPr="00E768DF">
        <w:rPr>
          <w:sz w:val="28"/>
          <w:szCs w:val="28"/>
          <w:lang w:val="en-US"/>
        </w:rPr>
        <w:t>tranexamic</w:t>
      </w:r>
      <w:proofErr w:type="spellEnd"/>
      <w:r w:rsidRPr="00E768DF">
        <w:rPr>
          <w:sz w:val="28"/>
          <w:szCs w:val="28"/>
          <w:lang w:val="en-US"/>
        </w:rPr>
        <w:t xml:space="preserve"> acid for the prevention of massive bleeding established a relationship of average strength (Cramer’s criterion – 0.387). Pregnant women with severe preeclampsia are at risk of the developing obstetric bleeding, which is associated with secondary changes in the </w:t>
      </w:r>
      <w:proofErr w:type="spellStart"/>
      <w:r w:rsidRPr="00E768DF">
        <w:rPr>
          <w:sz w:val="28"/>
          <w:szCs w:val="28"/>
          <w:lang w:val="en-US"/>
        </w:rPr>
        <w:t>hemostatic</w:t>
      </w:r>
      <w:proofErr w:type="spellEnd"/>
      <w:r w:rsidRPr="00E768DF">
        <w:rPr>
          <w:sz w:val="28"/>
          <w:szCs w:val="28"/>
          <w:lang w:val="en-US"/>
        </w:rPr>
        <w:t xml:space="preserve"> system in women with preeclampsia. With obstetric bleeding in women with preeclampsia, the balance between the coagulation, </w:t>
      </w:r>
      <w:proofErr w:type="gramStart"/>
      <w:r w:rsidRPr="00E768DF">
        <w:rPr>
          <w:sz w:val="28"/>
          <w:szCs w:val="28"/>
          <w:lang w:val="en-US"/>
        </w:rPr>
        <w:t xml:space="preserve">anti-coagulation and </w:t>
      </w:r>
      <w:proofErr w:type="spellStart"/>
      <w:r w:rsidRPr="00E768DF">
        <w:rPr>
          <w:sz w:val="28"/>
          <w:szCs w:val="28"/>
          <w:lang w:val="en-US"/>
        </w:rPr>
        <w:lastRenderedPageBreak/>
        <w:t>fibrinolytic</w:t>
      </w:r>
      <w:proofErr w:type="spellEnd"/>
      <w:r w:rsidRPr="00E768DF">
        <w:rPr>
          <w:sz w:val="28"/>
          <w:szCs w:val="28"/>
          <w:lang w:val="en-US"/>
        </w:rPr>
        <w:t xml:space="preserve"> systems is</w:t>
      </w:r>
      <w:proofErr w:type="gramEnd"/>
      <w:r w:rsidRPr="00E768DF">
        <w:rPr>
          <w:sz w:val="28"/>
          <w:szCs w:val="28"/>
          <w:lang w:val="en-US"/>
        </w:rPr>
        <w:t xml:space="preserve"> disturbed faster. </w:t>
      </w:r>
      <w:proofErr w:type="spellStart"/>
      <w:r w:rsidRPr="00E768DF">
        <w:rPr>
          <w:sz w:val="28"/>
          <w:szCs w:val="28"/>
          <w:lang w:val="en-US"/>
        </w:rPr>
        <w:t>Fibrinolysis</w:t>
      </w:r>
      <w:proofErr w:type="spellEnd"/>
      <w:r w:rsidRPr="00E768DF">
        <w:rPr>
          <w:sz w:val="28"/>
          <w:szCs w:val="28"/>
          <w:lang w:val="en-US"/>
        </w:rPr>
        <w:t xml:space="preserve"> is activated faster due to the limitation of thrombus formation due to the breakdown of fibrin in thrombi and the </w:t>
      </w:r>
      <w:proofErr w:type="spellStart"/>
      <w:r w:rsidRPr="00E768DF">
        <w:rPr>
          <w:sz w:val="28"/>
          <w:szCs w:val="28"/>
          <w:lang w:val="en-US"/>
        </w:rPr>
        <w:t>fibrinolytic</w:t>
      </w:r>
      <w:proofErr w:type="spellEnd"/>
      <w:r w:rsidRPr="00E768DF">
        <w:rPr>
          <w:sz w:val="28"/>
          <w:szCs w:val="28"/>
          <w:lang w:val="en-US"/>
        </w:rPr>
        <w:t xml:space="preserve"> properties of the fibrin breakdown products themselves. The use of the </w:t>
      </w:r>
      <w:proofErr w:type="spellStart"/>
      <w:r w:rsidRPr="00E768DF">
        <w:rPr>
          <w:sz w:val="28"/>
          <w:szCs w:val="28"/>
          <w:lang w:val="en-US"/>
        </w:rPr>
        <w:t>tranexamic</w:t>
      </w:r>
      <w:proofErr w:type="spellEnd"/>
      <w:r w:rsidRPr="00E768DF">
        <w:rPr>
          <w:sz w:val="28"/>
          <w:szCs w:val="28"/>
          <w:lang w:val="en-US"/>
        </w:rPr>
        <w:t xml:space="preserve"> acid in the obstetric bleeding is justified by the </w:t>
      </w:r>
      <w:proofErr w:type="spellStart"/>
      <w:r w:rsidRPr="00E768DF">
        <w:rPr>
          <w:sz w:val="28"/>
          <w:szCs w:val="28"/>
          <w:lang w:val="en-US"/>
        </w:rPr>
        <w:t>antifibrinolysis</w:t>
      </w:r>
      <w:proofErr w:type="spellEnd"/>
      <w:r w:rsidRPr="00E768DF">
        <w:rPr>
          <w:sz w:val="28"/>
          <w:szCs w:val="28"/>
          <w:lang w:val="en-US"/>
        </w:rPr>
        <w:t xml:space="preserve"> effect of the drug. Further research on the use of the </w:t>
      </w:r>
      <w:proofErr w:type="spellStart"/>
      <w:r w:rsidRPr="00E768DF">
        <w:rPr>
          <w:sz w:val="28"/>
          <w:szCs w:val="28"/>
          <w:lang w:val="en-US"/>
        </w:rPr>
        <w:t>tranexamic</w:t>
      </w:r>
      <w:proofErr w:type="spellEnd"/>
      <w:r w:rsidRPr="00E768DF">
        <w:rPr>
          <w:sz w:val="28"/>
          <w:szCs w:val="28"/>
          <w:lang w:val="en-US"/>
        </w:rPr>
        <w:t xml:space="preserve"> acid for the prevention of massive bleeding, confirmed by laboratory data, is highly relevant.</w:t>
      </w:r>
    </w:p>
    <w:p w:rsidR="00A669DD" w:rsidRPr="00995A3D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995A3D">
        <w:rPr>
          <w:b/>
          <w:sz w:val="28"/>
          <w:szCs w:val="28"/>
          <w:lang w:val="en-US"/>
        </w:rPr>
        <w:t>Conclusions.</w:t>
      </w:r>
      <w:proofErr w:type="gramEnd"/>
      <w:r w:rsidRPr="00995A3D">
        <w:rPr>
          <w:sz w:val="28"/>
          <w:szCs w:val="28"/>
          <w:lang w:val="en-US"/>
        </w:rPr>
        <w:t xml:space="preserve"> The use of </w:t>
      </w:r>
      <w:proofErr w:type="spellStart"/>
      <w:r w:rsidRPr="00995A3D">
        <w:rPr>
          <w:sz w:val="28"/>
          <w:szCs w:val="28"/>
          <w:lang w:val="en-US"/>
        </w:rPr>
        <w:t>tranexamic</w:t>
      </w:r>
      <w:proofErr w:type="spellEnd"/>
      <w:r w:rsidRPr="00995A3D">
        <w:rPr>
          <w:sz w:val="28"/>
          <w:szCs w:val="28"/>
          <w:lang w:val="en-US"/>
        </w:rPr>
        <w:t xml:space="preserve"> acid with the onset of obstetric bleeding in women with risk factors for the secondary </w:t>
      </w:r>
      <w:proofErr w:type="spellStart"/>
      <w:r w:rsidRPr="00995A3D">
        <w:rPr>
          <w:sz w:val="28"/>
          <w:szCs w:val="28"/>
          <w:lang w:val="en-US"/>
        </w:rPr>
        <w:t>thrombocytopathy</w:t>
      </w:r>
      <w:proofErr w:type="spellEnd"/>
      <w:r w:rsidRPr="00995A3D">
        <w:rPr>
          <w:sz w:val="28"/>
          <w:szCs w:val="28"/>
          <w:lang w:val="en-US"/>
        </w:rPr>
        <w:t xml:space="preserve"> will prevent the aggravation of </w:t>
      </w:r>
      <w:proofErr w:type="spellStart"/>
      <w:r w:rsidRPr="00995A3D">
        <w:rPr>
          <w:sz w:val="28"/>
          <w:szCs w:val="28"/>
          <w:lang w:val="en-US"/>
        </w:rPr>
        <w:t>coagulopathy</w:t>
      </w:r>
      <w:proofErr w:type="spellEnd"/>
      <w:r w:rsidRPr="00995A3D">
        <w:rPr>
          <w:sz w:val="28"/>
          <w:szCs w:val="28"/>
          <w:lang w:val="en-US"/>
        </w:rPr>
        <w:t xml:space="preserve"> and reduce the incidence of massive obstetric bleeding caused by a disseminated intravascular coagulation.</w:t>
      </w:r>
    </w:p>
    <w:p w:rsidR="00A669DD" w:rsidRPr="00995A3D" w:rsidRDefault="00A669DD" w:rsidP="00A669DD">
      <w:pPr>
        <w:spacing w:after="120" w:line="276" w:lineRule="auto"/>
        <w:ind w:firstLine="709"/>
        <w:jc w:val="both"/>
        <w:rPr>
          <w:sz w:val="28"/>
          <w:szCs w:val="28"/>
          <w:lang w:val="en-US"/>
        </w:rPr>
      </w:pPr>
      <w:r w:rsidRPr="00995A3D">
        <w:rPr>
          <w:b/>
          <w:sz w:val="28"/>
          <w:szCs w:val="28"/>
          <w:lang w:val="en-US"/>
        </w:rPr>
        <w:t>Key words</w:t>
      </w:r>
      <w:r w:rsidRPr="00C22CD5">
        <w:rPr>
          <w:b/>
          <w:sz w:val="28"/>
          <w:szCs w:val="28"/>
          <w:lang w:val="en-US"/>
        </w:rPr>
        <w:t>:</w:t>
      </w:r>
      <w:r w:rsidRPr="00995A3D">
        <w:rPr>
          <w:sz w:val="28"/>
          <w:szCs w:val="28"/>
          <w:lang w:val="en-US"/>
        </w:rPr>
        <w:t xml:space="preserve"> obstetric bleeding, severe preeclampsia, prevention of massive bleeding, </w:t>
      </w:r>
      <w:proofErr w:type="spellStart"/>
      <w:r w:rsidRPr="00995A3D">
        <w:rPr>
          <w:sz w:val="28"/>
          <w:szCs w:val="28"/>
          <w:lang w:val="en-US"/>
        </w:rPr>
        <w:t>tranexamic</w:t>
      </w:r>
      <w:proofErr w:type="spellEnd"/>
      <w:r w:rsidRPr="00995A3D">
        <w:rPr>
          <w:sz w:val="28"/>
          <w:szCs w:val="28"/>
          <w:lang w:val="en-US"/>
        </w:rPr>
        <w:t xml:space="preserve"> acid.</w:t>
      </w:r>
    </w:p>
    <w:p w:rsidR="00A669DD" w:rsidRDefault="00A669DD" w:rsidP="00A669DD">
      <w:pPr>
        <w:spacing w:after="120" w:line="276" w:lineRule="auto"/>
        <w:ind w:firstLine="0"/>
        <w:jc w:val="both"/>
      </w:pPr>
      <w:r>
        <w:rPr>
          <w:i/>
          <w:color w:val="000000"/>
          <w:sz w:val="28"/>
          <w:szCs w:val="28"/>
        </w:rPr>
        <w:t xml:space="preserve">*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theses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of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Congress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on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Infusion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Therapy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are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published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in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the</w:t>
      </w:r>
      <w:proofErr w:type="spellEnd"/>
      <w:r>
        <w:rPr>
          <w:i/>
          <w:color w:val="000000"/>
          <w:sz w:val="28"/>
          <w:szCs w:val="28"/>
        </w:rPr>
        <w:t xml:space="preserve"> "</w:t>
      </w:r>
      <w:proofErr w:type="spellStart"/>
      <w:r>
        <w:fldChar w:fldCharType="begin"/>
      </w:r>
      <w:r>
        <w:instrText xml:space="preserve"> HYPERLINK "https://infusiontherapy.org/en/news/tezisy-kongressa-po-infuzionnoy-terapii-opublikovany-v-zhurnale-infuziya-khimioterapiya--p278"</w:instrText>
      </w:r>
      <w:r>
        <w:fldChar w:fldCharType="separate"/>
      </w:r>
      <w:r>
        <w:rPr>
          <w:rStyle w:val="a3"/>
          <w:i/>
          <w:sz w:val="28"/>
          <w:szCs w:val="28"/>
        </w:rPr>
        <w:t>Infusion</w:t>
      </w:r>
      <w:proofErr w:type="spellEnd"/>
      <w:r>
        <w:rPr>
          <w:rStyle w:val="a3"/>
          <w:i/>
          <w:sz w:val="28"/>
          <w:szCs w:val="28"/>
        </w:rPr>
        <w:t xml:space="preserve"> &amp; </w:t>
      </w:r>
      <w:proofErr w:type="spellStart"/>
      <w:r>
        <w:rPr>
          <w:rStyle w:val="a3"/>
          <w:i/>
          <w:sz w:val="28"/>
          <w:szCs w:val="28"/>
        </w:rPr>
        <w:t>Chemotherapy</w:t>
      </w:r>
      <w:proofErr w:type="spellEnd"/>
      <w:r>
        <w:fldChar w:fldCharType="end"/>
      </w:r>
      <w:r>
        <w:rPr>
          <w:i/>
          <w:color w:val="000000"/>
          <w:sz w:val="28"/>
          <w:szCs w:val="28"/>
        </w:rPr>
        <w:t xml:space="preserve">" </w:t>
      </w:r>
      <w:proofErr w:type="spellStart"/>
      <w:r>
        <w:rPr>
          <w:i/>
          <w:color w:val="000000"/>
          <w:sz w:val="28"/>
          <w:szCs w:val="28"/>
        </w:rPr>
        <w:t>journal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A06D1C" w:rsidRPr="00A669DD" w:rsidRDefault="00A06D1C"/>
    <w:sectPr w:rsidR="00A06D1C" w:rsidRPr="00A669DD" w:rsidSect="00A06D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9DD"/>
    <w:rsid w:val="00A06D1C"/>
    <w:rsid w:val="00A6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DD"/>
    <w:pPr>
      <w:spacing w:after="0" w:line="300" w:lineRule="auto"/>
      <w:ind w:firstLine="30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69D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4076</Words>
  <Characters>2324</Characters>
  <Application>Microsoft Office Word</Application>
  <DocSecurity>0</DocSecurity>
  <Lines>19</Lines>
  <Paragraphs>12</Paragraphs>
  <ScaleCrop>false</ScaleCrop>
  <Company>diakov.net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2020-11-09T16:59:00Z</dcterms:created>
  <dcterms:modified xsi:type="dcterms:W3CDTF">2020-11-09T16:59:00Z</dcterms:modified>
</cp:coreProperties>
</file>