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6E" w:rsidRPr="00E86C25" w:rsidRDefault="00B87C6E" w:rsidP="00B87C6E">
      <w:pPr>
        <w:pStyle w:val="10"/>
        <w:spacing w:after="120" w:line="276" w:lineRule="auto"/>
        <w:jc w:val="both"/>
        <w:rPr>
          <w:rFonts w:ascii="Times New Roman" w:hAnsi="Times New Roman"/>
          <w:b/>
          <w:bCs/>
          <w:sz w:val="32"/>
          <w:szCs w:val="28"/>
          <w:lang w:val="uk-UA"/>
        </w:rPr>
      </w:pPr>
      <w:r w:rsidRPr="00E86C25">
        <w:rPr>
          <w:rFonts w:ascii="Times New Roman" w:hAnsi="Times New Roman"/>
          <w:b/>
          <w:bCs/>
          <w:sz w:val="32"/>
          <w:szCs w:val="28"/>
          <w:lang w:val="uk-UA"/>
        </w:rPr>
        <w:t>Актуальні питання застосування противірусних препаратів у гематологічних хворих із вірусним гепатитом С</w:t>
      </w:r>
    </w:p>
    <w:p w:rsidR="00B87C6E" w:rsidRPr="00E86C25" w:rsidRDefault="00B87C6E" w:rsidP="00B87C6E">
      <w:pPr>
        <w:pStyle w:val="2"/>
        <w:spacing w:after="120" w:line="276" w:lineRule="auto"/>
        <w:jc w:val="both"/>
        <w:rPr>
          <w:rFonts w:ascii="Times New Roman" w:hAnsi="Times New Roman"/>
          <w:b/>
          <w:sz w:val="26"/>
          <w:szCs w:val="26"/>
          <w:lang w:val="uk-UA"/>
        </w:rPr>
      </w:pPr>
      <w:r w:rsidRPr="00E86C25">
        <w:rPr>
          <w:rFonts w:ascii="Times New Roman" w:hAnsi="Times New Roman"/>
          <w:b/>
          <w:sz w:val="26"/>
          <w:szCs w:val="26"/>
          <w:lang w:val="uk-UA"/>
        </w:rPr>
        <w:t>Юрчишак І.М.</w:t>
      </w:r>
      <w:r w:rsidRPr="00E86C25">
        <w:rPr>
          <w:rFonts w:ascii="Times New Roman" w:hAnsi="Times New Roman"/>
          <w:b/>
          <w:bCs/>
          <w:iCs/>
          <w:sz w:val="26"/>
          <w:szCs w:val="26"/>
          <w:vertAlign w:val="superscript"/>
          <w:lang w:val="uk-UA"/>
        </w:rPr>
        <w:t>1</w:t>
      </w:r>
      <w:r w:rsidRPr="00E86C25">
        <w:rPr>
          <w:rFonts w:ascii="Times New Roman" w:hAnsi="Times New Roman"/>
          <w:b/>
          <w:sz w:val="26"/>
          <w:szCs w:val="26"/>
          <w:lang w:val="uk-UA"/>
        </w:rPr>
        <w:t>, Кіселик І.О.</w:t>
      </w:r>
      <w:r w:rsidRPr="00E86C25">
        <w:rPr>
          <w:rFonts w:ascii="Times New Roman" w:hAnsi="Times New Roman"/>
          <w:b/>
          <w:bCs/>
          <w:iCs/>
          <w:sz w:val="26"/>
          <w:szCs w:val="26"/>
          <w:vertAlign w:val="superscript"/>
          <w:lang w:val="uk-UA"/>
        </w:rPr>
        <w:t>2</w:t>
      </w:r>
      <w:r w:rsidRPr="00E86C25">
        <w:rPr>
          <w:rFonts w:ascii="Times New Roman" w:hAnsi="Times New Roman"/>
          <w:b/>
          <w:bCs/>
          <w:iCs/>
          <w:sz w:val="26"/>
          <w:szCs w:val="26"/>
          <w:lang w:val="uk-UA"/>
        </w:rPr>
        <w:t xml:space="preserve">, </w:t>
      </w:r>
      <w:r w:rsidRPr="00E86C25">
        <w:rPr>
          <w:rFonts w:ascii="Times New Roman" w:hAnsi="Times New Roman"/>
          <w:b/>
          <w:sz w:val="26"/>
          <w:szCs w:val="26"/>
          <w:lang w:val="uk-UA"/>
        </w:rPr>
        <w:t>Шурко Н.О.</w:t>
      </w:r>
      <w:r w:rsidRPr="00E86C25">
        <w:rPr>
          <w:rFonts w:ascii="Times New Roman" w:hAnsi="Times New Roman"/>
          <w:b/>
          <w:bCs/>
          <w:iCs/>
          <w:sz w:val="26"/>
          <w:szCs w:val="26"/>
          <w:vertAlign w:val="superscript"/>
          <w:lang w:val="uk-UA"/>
        </w:rPr>
        <w:t>1</w:t>
      </w:r>
      <w:r w:rsidRPr="00E86C25">
        <w:rPr>
          <w:rFonts w:ascii="Times New Roman" w:hAnsi="Times New Roman"/>
          <w:b/>
          <w:sz w:val="26"/>
          <w:szCs w:val="26"/>
          <w:lang w:val="uk-UA"/>
        </w:rPr>
        <w:t>, Новак В.Л.</w:t>
      </w:r>
      <w:r w:rsidRPr="00E86C25">
        <w:rPr>
          <w:rFonts w:ascii="Times New Roman" w:hAnsi="Times New Roman"/>
          <w:b/>
          <w:bCs/>
          <w:iCs/>
          <w:sz w:val="26"/>
          <w:szCs w:val="26"/>
          <w:vertAlign w:val="superscript"/>
          <w:lang w:val="uk-UA"/>
        </w:rPr>
        <w:t>1</w:t>
      </w:r>
    </w:p>
    <w:p w:rsidR="00B87C6E" w:rsidRPr="00E86C25" w:rsidRDefault="00B87C6E" w:rsidP="00B87C6E">
      <w:pPr>
        <w:pStyle w:val="10"/>
        <w:spacing w:after="120" w:line="276" w:lineRule="auto"/>
        <w:jc w:val="both"/>
        <w:rPr>
          <w:rFonts w:ascii="Times New Roman" w:hAnsi="Times New Roman"/>
          <w:bCs/>
          <w:sz w:val="26"/>
          <w:szCs w:val="26"/>
          <w:lang w:val="uk-UA"/>
        </w:rPr>
      </w:pPr>
      <w:r w:rsidRPr="00E86C25">
        <w:rPr>
          <w:rFonts w:ascii="Times New Roman" w:hAnsi="Times New Roman"/>
          <w:bCs/>
          <w:sz w:val="26"/>
          <w:szCs w:val="26"/>
          <w:vertAlign w:val="superscript"/>
          <w:lang w:val="uk-UA"/>
        </w:rPr>
        <w:t>1</w:t>
      </w:r>
      <w:r w:rsidRPr="00E86C25">
        <w:rPr>
          <w:rFonts w:ascii="Times New Roman" w:hAnsi="Times New Roman"/>
          <w:bCs/>
          <w:sz w:val="26"/>
          <w:szCs w:val="26"/>
          <w:lang w:val="uk-UA"/>
        </w:rPr>
        <w:t xml:space="preserve"> ДУ «Інститут патології крові та трансфузійної медицини НАМН України», м. Львів, Україна</w:t>
      </w:r>
    </w:p>
    <w:p w:rsidR="00B87C6E" w:rsidRPr="00E86C25" w:rsidRDefault="00B87C6E" w:rsidP="00B87C6E">
      <w:pPr>
        <w:pStyle w:val="10"/>
        <w:spacing w:after="120" w:line="276" w:lineRule="auto"/>
        <w:jc w:val="both"/>
        <w:rPr>
          <w:rFonts w:ascii="Times New Roman" w:hAnsi="Times New Roman"/>
          <w:bCs/>
          <w:sz w:val="26"/>
          <w:szCs w:val="26"/>
          <w:lang w:val="uk-UA"/>
        </w:rPr>
      </w:pPr>
      <w:r w:rsidRPr="00E86C25">
        <w:rPr>
          <w:rFonts w:ascii="Times New Roman" w:hAnsi="Times New Roman"/>
          <w:bCs/>
          <w:sz w:val="26"/>
          <w:szCs w:val="26"/>
          <w:vertAlign w:val="superscript"/>
          <w:lang w:val="uk-UA"/>
        </w:rPr>
        <w:t>2</w:t>
      </w:r>
      <w:r w:rsidRPr="00E86C25">
        <w:rPr>
          <w:rFonts w:ascii="Times New Roman" w:hAnsi="Times New Roman"/>
          <w:bCs/>
          <w:sz w:val="26"/>
          <w:szCs w:val="26"/>
          <w:lang w:val="uk-UA"/>
        </w:rPr>
        <w:t xml:space="preserve"> Львівський національний медичний університет ім. Данила Галицького, м. Львів, Україна</w:t>
      </w:r>
    </w:p>
    <w:p w:rsidR="00B87C6E" w:rsidRPr="001E7BC6" w:rsidRDefault="00B87C6E" w:rsidP="00B87C6E">
      <w:pPr>
        <w:pStyle w:val="1"/>
        <w:spacing w:after="120" w:line="276" w:lineRule="auto"/>
        <w:ind w:firstLine="709"/>
        <w:jc w:val="both"/>
        <w:rPr>
          <w:rFonts w:ascii="Times New Roman" w:hAnsi="Times New Roman"/>
          <w:sz w:val="28"/>
          <w:szCs w:val="28"/>
          <w:lang w:val="uk-UA"/>
        </w:rPr>
      </w:pPr>
      <w:r w:rsidRPr="001E7BC6">
        <w:rPr>
          <w:rFonts w:ascii="Times New Roman" w:hAnsi="Times New Roman"/>
          <w:b/>
          <w:sz w:val="28"/>
          <w:szCs w:val="28"/>
          <w:lang w:val="uk-UA"/>
        </w:rPr>
        <w:t>Мета</w:t>
      </w:r>
      <w:r w:rsidRPr="0026426C">
        <w:rPr>
          <w:rFonts w:ascii="Times New Roman" w:hAnsi="Times New Roman"/>
          <w:b/>
          <w:sz w:val="28"/>
          <w:szCs w:val="28"/>
          <w:lang w:val="uk-UA"/>
        </w:rPr>
        <w:t>.</w:t>
      </w:r>
      <w:r w:rsidRPr="001E7BC6">
        <w:rPr>
          <w:rFonts w:ascii="Times New Roman" w:hAnsi="Times New Roman"/>
          <w:sz w:val="28"/>
          <w:szCs w:val="28"/>
          <w:lang w:val="uk-UA"/>
        </w:rPr>
        <w:t xml:space="preserve"> Проаналіз</w:t>
      </w:r>
      <w:r>
        <w:rPr>
          <w:rFonts w:ascii="Times New Roman" w:hAnsi="Times New Roman"/>
          <w:sz w:val="28"/>
          <w:szCs w:val="28"/>
          <w:lang w:val="uk-UA"/>
        </w:rPr>
        <w:t>увати</w:t>
      </w:r>
      <w:r w:rsidRPr="001E7BC6">
        <w:rPr>
          <w:rFonts w:ascii="Times New Roman" w:hAnsi="Times New Roman"/>
          <w:sz w:val="28"/>
          <w:szCs w:val="28"/>
          <w:lang w:val="uk-UA"/>
        </w:rPr>
        <w:t xml:space="preserve"> ефективн</w:t>
      </w:r>
      <w:r>
        <w:rPr>
          <w:rFonts w:ascii="Times New Roman" w:hAnsi="Times New Roman"/>
          <w:sz w:val="28"/>
          <w:szCs w:val="28"/>
          <w:lang w:val="uk-UA"/>
        </w:rPr>
        <w:t>і</w:t>
      </w:r>
      <w:r w:rsidRPr="001E7BC6">
        <w:rPr>
          <w:rFonts w:ascii="Times New Roman" w:hAnsi="Times New Roman"/>
          <w:sz w:val="28"/>
          <w:szCs w:val="28"/>
          <w:lang w:val="uk-UA"/>
        </w:rPr>
        <w:t>ст</w:t>
      </w:r>
      <w:r>
        <w:rPr>
          <w:rFonts w:ascii="Times New Roman" w:hAnsi="Times New Roman"/>
          <w:sz w:val="28"/>
          <w:szCs w:val="28"/>
          <w:lang w:val="uk-UA"/>
        </w:rPr>
        <w:t>ь</w:t>
      </w:r>
      <w:r w:rsidRPr="001E7BC6">
        <w:rPr>
          <w:rFonts w:ascii="Times New Roman" w:hAnsi="Times New Roman"/>
          <w:sz w:val="28"/>
          <w:szCs w:val="28"/>
          <w:lang w:val="uk-UA"/>
        </w:rPr>
        <w:t xml:space="preserve"> використання противірусних препаратів Совалді 400 мг </w:t>
      </w:r>
      <w:r>
        <w:rPr>
          <w:rFonts w:ascii="Times New Roman" w:hAnsi="Times New Roman"/>
          <w:sz w:val="28"/>
          <w:szCs w:val="28"/>
          <w:lang w:val="uk-UA"/>
        </w:rPr>
        <w:t>і</w:t>
      </w:r>
      <w:r w:rsidRPr="001E7BC6">
        <w:rPr>
          <w:rFonts w:ascii="Times New Roman" w:hAnsi="Times New Roman"/>
          <w:sz w:val="28"/>
          <w:szCs w:val="28"/>
          <w:lang w:val="uk-UA"/>
        </w:rPr>
        <w:t xml:space="preserve"> Харвоні 90/400</w:t>
      </w:r>
      <w:r>
        <w:rPr>
          <w:rFonts w:ascii="Times New Roman" w:hAnsi="Times New Roman"/>
          <w:sz w:val="28"/>
          <w:szCs w:val="28"/>
          <w:lang w:val="uk-UA"/>
        </w:rPr>
        <w:t xml:space="preserve"> мг у гематологічних пацієнтів.</w:t>
      </w:r>
    </w:p>
    <w:p w:rsidR="00B87C6E" w:rsidRPr="001E7BC6" w:rsidRDefault="00B87C6E" w:rsidP="00B87C6E">
      <w:pPr>
        <w:pStyle w:val="1"/>
        <w:spacing w:after="120" w:line="276" w:lineRule="auto"/>
        <w:ind w:firstLine="709"/>
        <w:jc w:val="both"/>
        <w:rPr>
          <w:rFonts w:ascii="Times New Roman" w:hAnsi="Times New Roman"/>
          <w:sz w:val="28"/>
          <w:szCs w:val="28"/>
          <w:lang w:val="uk-UA"/>
        </w:rPr>
      </w:pPr>
      <w:r w:rsidRPr="001E7BC6">
        <w:rPr>
          <w:rFonts w:ascii="Times New Roman" w:hAnsi="Times New Roman"/>
          <w:b/>
          <w:sz w:val="28"/>
          <w:szCs w:val="28"/>
          <w:lang w:val="uk-UA"/>
        </w:rPr>
        <w:t xml:space="preserve">Матеріали </w:t>
      </w:r>
      <w:r>
        <w:rPr>
          <w:rFonts w:ascii="Times New Roman" w:hAnsi="Times New Roman"/>
          <w:b/>
          <w:sz w:val="28"/>
          <w:szCs w:val="28"/>
          <w:lang w:val="uk-UA"/>
        </w:rPr>
        <w:t>та</w:t>
      </w:r>
      <w:r w:rsidRPr="001E7BC6">
        <w:rPr>
          <w:rFonts w:ascii="Times New Roman" w:hAnsi="Times New Roman"/>
          <w:b/>
          <w:sz w:val="28"/>
          <w:szCs w:val="28"/>
          <w:lang w:val="uk-UA"/>
        </w:rPr>
        <w:t xml:space="preserve"> методи</w:t>
      </w:r>
      <w:r w:rsidRPr="0026426C">
        <w:rPr>
          <w:rFonts w:ascii="Times New Roman" w:hAnsi="Times New Roman"/>
          <w:b/>
          <w:sz w:val="28"/>
          <w:szCs w:val="28"/>
          <w:lang w:val="uk-UA"/>
        </w:rPr>
        <w:t>.</w:t>
      </w:r>
      <w:r w:rsidRPr="001E7BC6">
        <w:rPr>
          <w:rFonts w:ascii="Times New Roman" w:hAnsi="Times New Roman"/>
          <w:sz w:val="28"/>
          <w:szCs w:val="28"/>
          <w:lang w:val="uk-UA"/>
        </w:rPr>
        <w:t xml:space="preserve"> </w:t>
      </w:r>
      <w:r>
        <w:rPr>
          <w:rFonts w:ascii="Times New Roman" w:hAnsi="Times New Roman"/>
          <w:sz w:val="28"/>
          <w:szCs w:val="28"/>
          <w:lang w:val="uk-UA"/>
        </w:rPr>
        <w:t>У</w:t>
      </w:r>
      <w:r w:rsidRPr="001E7BC6">
        <w:rPr>
          <w:rFonts w:ascii="Times New Roman" w:hAnsi="Times New Roman"/>
          <w:sz w:val="28"/>
          <w:szCs w:val="28"/>
          <w:lang w:val="uk-UA"/>
        </w:rPr>
        <w:t xml:space="preserve"> дослідженні </w:t>
      </w:r>
      <w:r>
        <w:rPr>
          <w:rFonts w:ascii="Times New Roman" w:hAnsi="Times New Roman"/>
          <w:sz w:val="28"/>
          <w:szCs w:val="28"/>
          <w:lang w:val="uk-UA"/>
        </w:rPr>
        <w:t>взяли</w:t>
      </w:r>
      <w:r w:rsidRPr="001E7BC6">
        <w:rPr>
          <w:rFonts w:ascii="Times New Roman" w:hAnsi="Times New Roman"/>
          <w:sz w:val="28"/>
          <w:szCs w:val="28"/>
          <w:lang w:val="uk-UA"/>
        </w:rPr>
        <w:t xml:space="preserve"> участь 68 пацієнтів </w:t>
      </w:r>
      <w:r>
        <w:rPr>
          <w:rFonts w:ascii="Times New Roman" w:hAnsi="Times New Roman"/>
          <w:sz w:val="28"/>
          <w:szCs w:val="28"/>
          <w:lang w:val="uk-UA"/>
        </w:rPr>
        <w:t xml:space="preserve">– </w:t>
      </w:r>
      <w:r w:rsidRPr="001E7BC6">
        <w:rPr>
          <w:rFonts w:ascii="Times New Roman" w:hAnsi="Times New Roman"/>
          <w:sz w:val="28"/>
          <w:szCs w:val="28"/>
          <w:lang w:val="uk-UA"/>
        </w:rPr>
        <w:t>43 (63</w:t>
      </w:r>
      <w:r>
        <w:rPr>
          <w:rFonts w:ascii="Times New Roman" w:hAnsi="Times New Roman"/>
          <w:sz w:val="28"/>
          <w:szCs w:val="28"/>
          <w:lang w:val="uk-UA"/>
        </w:rPr>
        <w:t> </w:t>
      </w:r>
      <w:r w:rsidRPr="001E7BC6">
        <w:rPr>
          <w:rFonts w:ascii="Times New Roman" w:hAnsi="Times New Roman"/>
          <w:sz w:val="28"/>
          <w:szCs w:val="28"/>
          <w:lang w:val="uk-UA"/>
        </w:rPr>
        <w:t>%) чоловік</w:t>
      </w:r>
      <w:r>
        <w:rPr>
          <w:rFonts w:ascii="Times New Roman" w:hAnsi="Times New Roman"/>
          <w:sz w:val="28"/>
          <w:szCs w:val="28"/>
          <w:lang w:val="uk-UA"/>
        </w:rPr>
        <w:t>и</w:t>
      </w:r>
      <w:r w:rsidRPr="001E7BC6">
        <w:rPr>
          <w:rFonts w:ascii="Times New Roman" w:hAnsi="Times New Roman"/>
          <w:sz w:val="28"/>
          <w:szCs w:val="28"/>
          <w:lang w:val="uk-UA"/>
        </w:rPr>
        <w:t xml:space="preserve"> та 25 (37</w:t>
      </w:r>
      <w:r>
        <w:rPr>
          <w:rFonts w:ascii="Times New Roman" w:hAnsi="Times New Roman"/>
          <w:sz w:val="28"/>
          <w:szCs w:val="28"/>
          <w:lang w:val="uk-UA"/>
        </w:rPr>
        <w:t> </w:t>
      </w:r>
      <w:r w:rsidRPr="001E7BC6">
        <w:rPr>
          <w:rFonts w:ascii="Times New Roman" w:hAnsi="Times New Roman"/>
          <w:sz w:val="28"/>
          <w:szCs w:val="28"/>
          <w:lang w:val="uk-UA"/>
        </w:rPr>
        <w:t>%) жінок ві</w:t>
      </w:r>
      <w:r>
        <w:rPr>
          <w:rFonts w:ascii="Times New Roman" w:hAnsi="Times New Roman"/>
          <w:sz w:val="28"/>
          <w:szCs w:val="28"/>
          <w:lang w:val="uk-UA"/>
        </w:rPr>
        <w:t>ком</w:t>
      </w:r>
      <w:r w:rsidRPr="001E7BC6">
        <w:rPr>
          <w:rFonts w:ascii="Times New Roman" w:hAnsi="Times New Roman"/>
          <w:sz w:val="28"/>
          <w:szCs w:val="28"/>
          <w:lang w:val="uk-UA"/>
        </w:rPr>
        <w:t xml:space="preserve"> від 23 до 80 років, яким проводили противірусну терапію з приводу вірусного гепатиту С (ВГС). Препарат призначали залежно від генотипу вірусу; ступеня ураження печінки; факторів, </w:t>
      </w:r>
      <w:r>
        <w:rPr>
          <w:rFonts w:ascii="Times New Roman" w:hAnsi="Times New Roman"/>
          <w:sz w:val="28"/>
          <w:szCs w:val="28"/>
          <w:lang w:val="uk-UA"/>
        </w:rPr>
        <w:t>які</w:t>
      </w:r>
      <w:r w:rsidRPr="001E7BC6">
        <w:rPr>
          <w:rFonts w:ascii="Times New Roman" w:hAnsi="Times New Roman"/>
          <w:sz w:val="28"/>
          <w:szCs w:val="28"/>
          <w:lang w:val="uk-UA"/>
        </w:rPr>
        <w:t xml:space="preserve"> обтяжують перебіг хвороби та впливають на процес лікування; відповіді </w:t>
      </w:r>
      <w:r>
        <w:rPr>
          <w:rFonts w:ascii="Times New Roman" w:hAnsi="Times New Roman"/>
          <w:sz w:val="28"/>
          <w:szCs w:val="28"/>
          <w:lang w:val="uk-UA"/>
        </w:rPr>
        <w:t>й</w:t>
      </w:r>
      <w:r w:rsidRPr="001E7BC6">
        <w:rPr>
          <w:rFonts w:ascii="Times New Roman" w:hAnsi="Times New Roman"/>
          <w:sz w:val="28"/>
          <w:szCs w:val="28"/>
          <w:lang w:val="uk-UA"/>
        </w:rPr>
        <w:t xml:space="preserve"> побічних реакцій, які можуть виникнути в процес</w:t>
      </w:r>
      <w:r>
        <w:rPr>
          <w:rFonts w:ascii="Times New Roman" w:hAnsi="Times New Roman"/>
          <w:sz w:val="28"/>
          <w:szCs w:val="28"/>
          <w:lang w:val="uk-UA"/>
        </w:rPr>
        <w:t>і</w:t>
      </w:r>
      <w:r w:rsidRPr="001E7BC6">
        <w:rPr>
          <w:rFonts w:ascii="Times New Roman" w:hAnsi="Times New Roman"/>
          <w:sz w:val="28"/>
          <w:szCs w:val="28"/>
          <w:lang w:val="uk-UA"/>
        </w:rPr>
        <w:t xml:space="preserve"> прийому препарату</w:t>
      </w:r>
      <w:r>
        <w:rPr>
          <w:rFonts w:ascii="Times New Roman" w:hAnsi="Times New Roman"/>
          <w:sz w:val="28"/>
          <w:szCs w:val="28"/>
          <w:lang w:val="uk-UA"/>
        </w:rPr>
        <w:t>;</w:t>
      </w:r>
      <w:r w:rsidRPr="001E7BC6">
        <w:rPr>
          <w:rFonts w:ascii="Times New Roman" w:hAnsi="Times New Roman"/>
          <w:sz w:val="28"/>
          <w:szCs w:val="28"/>
          <w:lang w:val="uk-UA"/>
        </w:rPr>
        <w:t xml:space="preserve"> термінів застосування. Совалді 400 мг отримували 26 пацієнтів </w:t>
      </w:r>
      <w:r>
        <w:rPr>
          <w:rFonts w:ascii="Times New Roman" w:hAnsi="Times New Roman"/>
          <w:sz w:val="28"/>
          <w:szCs w:val="28"/>
          <w:lang w:val="uk-UA"/>
        </w:rPr>
        <w:t>і</w:t>
      </w:r>
      <w:r w:rsidRPr="001E7BC6">
        <w:rPr>
          <w:rFonts w:ascii="Times New Roman" w:hAnsi="Times New Roman"/>
          <w:sz w:val="28"/>
          <w:szCs w:val="28"/>
          <w:lang w:val="uk-UA"/>
        </w:rPr>
        <w:t>з генотипами 1 (3), 1</w:t>
      </w:r>
      <w:r>
        <w:rPr>
          <w:rFonts w:ascii="Times New Roman" w:hAnsi="Times New Roman"/>
          <w:sz w:val="28"/>
          <w:szCs w:val="28"/>
          <w:lang w:val="en-US"/>
        </w:rPr>
        <w:t>c</w:t>
      </w:r>
      <w:r w:rsidRPr="001E7BC6">
        <w:rPr>
          <w:rFonts w:ascii="Times New Roman" w:hAnsi="Times New Roman"/>
          <w:sz w:val="28"/>
          <w:szCs w:val="28"/>
          <w:lang w:val="uk-UA"/>
        </w:rPr>
        <w:t xml:space="preserve"> (4), 2 (4), 3а (14) та 1 пацієнт </w:t>
      </w:r>
      <w:r>
        <w:rPr>
          <w:rFonts w:ascii="Times New Roman" w:hAnsi="Times New Roman"/>
          <w:sz w:val="28"/>
          <w:szCs w:val="28"/>
          <w:lang w:val="uk-UA"/>
        </w:rPr>
        <w:t>і</w:t>
      </w:r>
      <w:r w:rsidRPr="001E7BC6">
        <w:rPr>
          <w:rFonts w:ascii="Times New Roman" w:hAnsi="Times New Roman"/>
          <w:sz w:val="28"/>
          <w:szCs w:val="28"/>
          <w:lang w:val="uk-UA"/>
        </w:rPr>
        <w:t>з нетипованим генотипом. Харвоні 90/400 мг використовували для лікування вірусного гепатиту 1</w:t>
      </w:r>
      <w:r>
        <w:rPr>
          <w:rFonts w:ascii="Times New Roman" w:hAnsi="Times New Roman"/>
          <w:sz w:val="28"/>
          <w:szCs w:val="28"/>
          <w:lang w:val="en-US"/>
        </w:rPr>
        <w:t>b</w:t>
      </w:r>
      <w:r w:rsidRPr="001E7BC6">
        <w:rPr>
          <w:rFonts w:ascii="Times New Roman" w:hAnsi="Times New Roman"/>
          <w:sz w:val="28"/>
          <w:szCs w:val="28"/>
          <w:lang w:val="uk-UA"/>
        </w:rPr>
        <w:t xml:space="preserve"> генотипу </w:t>
      </w:r>
      <w:r>
        <w:rPr>
          <w:rFonts w:ascii="Times New Roman" w:hAnsi="Times New Roman"/>
          <w:sz w:val="28"/>
          <w:szCs w:val="28"/>
          <w:lang w:val="uk-UA"/>
        </w:rPr>
        <w:t xml:space="preserve">в </w:t>
      </w:r>
      <w:r w:rsidRPr="001E7BC6">
        <w:rPr>
          <w:rFonts w:ascii="Times New Roman" w:hAnsi="Times New Roman"/>
          <w:sz w:val="28"/>
          <w:szCs w:val="28"/>
          <w:lang w:val="uk-UA"/>
        </w:rPr>
        <w:t>41 пацієнт</w:t>
      </w:r>
      <w:r>
        <w:rPr>
          <w:rFonts w:ascii="Times New Roman" w:hAnsi="Times New Roman"/>
          <w:sz w:val="28"/>
          <w:szCs w:val="28"/>
          <w:lang w:val="uk-UA"/>
        </w:rPr>
        <w:t>а</w:t>
      </w:r>
      <w:r w:rsidRPr="001E7BC6">
        <w:rPr>
          <w:rFonts w:ascii="Times New Roman" w:hAnsi="Times New Roman"/>
          <w:sz w:val="28"/>
          <w:szCs w:val="28"/>
          <w:lang w:val="uk-UA"/>
        </w:rPr>
        <w:t xml:space="preserve"> </w:t>
      </w:r>
      <w:r>
        <w:rPr>
          <w:rFonts w:ascii="Times New Roman" w:hAnsi="Times New Roman"/>
          <w:sz w:val="28"/>
          <w:szCs w:val="28"/>
          <w:lang w:val="uk-UA"/>
        </w:rPr>
        <w:t>й</w:t>
      </w:r>
      <w:r w:rsidRPr="001E7BC6">
        <w:rPr>
          <w:rFonts w:ascii="Times New Roman" w:hAnsi="Times New Roman"/>
          <w:sz w:val="28"/>
          <w:szCs w:val="28"/>
          <w:lang w:val="uk-UA"/>
        </w:rPr>
        <w:t xml:space="preserve"> 1 пацієнт</w:t>
      </w:r>
      <w:r>
        <w:rPr>
          <w:rFonts w:ascii="Times New Roman" w:hAnsi="Times New Roman"/>
          <w:sz w:val="28"/>
          <w:szCs w:val="28"/>
          <w:lang w:val="uk-UA"/>
        </w:rPr>
        <w:t>а</w:t>
      </w:r>
      <w:r w:rsidRPr="001E7BC6">
        <w:rPr>
          <w:rFonts w:ascii="Times New Roman" w:hAnsi="Times New Roman"/>
          <w:sz w:val="28"/>
          <w:szCs w:val="28"/>
          <w:lang w:val="uk-UA"/>
        </w:rPr>
        <w:t xml:space="preserve"> з нетипованим генотипом. Усіх хворих обстежено згідно </w:t>
      </w:r>
      <w:r>
        <w:rPr>
          <w:rFonts w:ascii="Times New Roman" w:hAnsi="Times New Roman"/>
          <w:sz w:val="28"/>
          <w:szCs w:val="28"/>
          <w:lang w:val="uk-UA"/>
        </w:rPr>
        <w:t xml:space="preserve">з </w:t>
      </w:r>
      <w:r w:rsidRPr="001E7BC6">
        <w:rPr>
          <w:rFonts w:ascii="Times New Roman" w:hAnsi="Times New Roman"/>
          <w:sz w:val="28"/>
          <w:szCs w:val="28"/>
          <w:lang w:val="uk-UA"/>
        </w:rPr>
        <w:t>алгоритм</w:t>
      </w:r>
      <w:r>
        <w:rPr>
          <w:rFonts w:ascii="Times New Roman" w:hAnsi="Times New Roman"/>
          <w:sz w:val="28"/>
          <w:szCs w:val="28"/>
          <w:lang w:val="uk-UA"/>
        </w:rPr>
        <w:t>ом</w:t>
      </w:r>
      <w:r w:rsidRPr="001E7BC6">
        <w:rPr>
          <w:rFonts w:ascii="Times New Roman" w:hAnsi="Times New Roman"/>
          <w:sz w:val="28"/>
          <w:szCs w:val="28"/>
          <w:lang w:val="uk-UA"/>
        </w:rPr>
        <w:t xml:space="preserve"> проведення діагностики та лікування ВГС</w:t>
      </w:r>
      <w:r>
        <w:rPr>
          <w:rFonts w:ascii="Times New Roman" w:hAnsi="Times New Roman"/>
          <w:sz w:val="28"/>
          <w:szCs w:val="28"/>
          <w:lang w:val="uk-UA"/>
        </w:rPr>
        <w:t>:</w:t>
      </w:r>
      <w:r w:rsidRPr="001E7BC6">
        <w:rPr>
          <w:rFonts w:ascii="Times New Roman" w:hAnsi="Times New Roman"/>
          <w:sz w:val="28"/>
          <w:szCs w:val="28"/>
          <w:lang w:val="uk-UA"/>
        </w:rPr>
        <w:t xml:space="preserve"> загальні клінічні (біохімічні та гематологічні) дослідження </w:t>
      </w:r>
      <w:r>
        <w:rPr>
          <w:rFonts w:ascii="Times New Roman" w:hAnsi="Times New Roman"/>
          <w:sz w:val="28"/>
          <w:szCs w:val="28"/>
          <w:lang w:val="uk-UA"/>
        </w:rPr>
        <w:t>й</w:t>
      </w:r>
      <w:r w:rsidRPr="001E7BC6">
        <w:rPr>
          <w:rFonts w:ascii="Times New Roman" w:hAnsi="Times New Roman"/>
          <w:sz w:val="28"/>
          <w:szCs w:val="28"/>
          <w:lang w:val="uk-UA"/>
        </w:rPr>
        <w:t xml:space="preserve"> обстеження на визначення генотипу вірусу, вірусного навантаження та ступеня фіброзу печінки.</w:t>
      </w:r>
    </w:p>
    <w:p w:rsidR="00B87C6E" w:rsidRPr="001E7BC6" w:rsidRDefault="00B87C6E" w:rsidP="00B87C6E">
      <w:pPr>
        <w:autoSpaceDE w:val="0"/>
        <w:autoSpaceDN w:val="0"/>
        <w:adjustRightInd w:val="0"/>
        <w:spacing w:after="120" w:line="276" w:lineRule="auto"/>
        <w:ind w:firstLine="709"/>
        <w:jc w:val="both"/>
        <w:rPr>
          <w:sz w:val="28"/>
          <w:szCs w:val="28"/>
        </w:rPr>
      </w:pPr>
      <w:r w:rsidRPr="001E7BC6">
        <w:rPr>
          <w:b/>
          <w:sz w:val="28"/>
          <w:szCs w:val="28"/>
        </w:rPr>
        <w:t xml:space="preserve">Результати та </w:t>
      </w:r>
      <w:r>
        <w:rPr>
          <w:b/>
          <w:sz w:val="28"/>
          <w:szCs w:val="28"/>
        </w:rPr>
        <w:t xml:space="preserve">їх </w:t>
      </w:r>
      <w:r w:rsidRPr="001E7BC6">
        <w:rPr>
          <w:b/>
          <w:sz w:val="28"/>
          <w:szCs w:val="28"/>
        </w:rPr>
        <w:t>обговорення</w:t>
      </w:r>
      <w:r w:rsidRPr="008959EB">
        <w:rPr>
          <w:b/>
          <w:sz w:val="28"/>
          <w:szCs w:val="28"/>
        </w:rPr>
        <w:t>.</w:t>
      </w:r>
      <w:r w:rsidRPr="001E7BC6">
        <w:rPr>
          <w:sz w:val="28"/>
          <w:szCs w:val="28"/>
        </w:rPr>
        <w:t xml:space="preserve"> </w:t>
      </w:r>
      <w:r>
        <w:rPr>
          <w:sz w:val="28"/>
          <w:szCs w:val="28"/>
        </w:rPr>
        <w:t>Зважаючи на</w:t>
      </w:r>
      <w:r w:rsidRPr="001E7BC6">
        <w:rPr>
          <w:sz w:val="28"/>
          <w:szCs w:val="28"/>
        </w:rPr>
        <w:t xml:space="preserve"> високу інфікованість у гематологічних хворих ВГС, яка </w:t>
      </w:r>
      <w:r>
        <w:rPr>
          <w:sz w:val="28"/>
          <w:szCs w:val="28"/>
        </w:rPr>
        <w:t>в</w:t>
      </w:r>
      <w:r w:rsidRPr="001E7BC6">
        <w:rPr>
          <w:sz w:val="28"/>
          <w:szCs w:val="28"/>
        </w:rPr>
        <w:t xml:space="preserve">неможливлює повноцінне лікування, </w:t>
      </w:r>
      <w:r>
        <w:rPr>
          <w:sz w:val="28"/>
          <w:szCs w:val="28"/>
        </w:rPr>
        <w:t>в</w:t>
      </w:r>
      <w:r w:rsidRPr="001E7BC6">
        <w:rPr>
          <w:sz w:val="28"/>
          <w:szCs w:val="28"/>
        </w:rPr>
        <w:t xml:space="preserve"> тому числі проведення хірургічних втручань </w:t>
      </w:r>
      <w:r>
        <w:rPr>
          <w:sz w:val="28"/>
          <w:szCs w:val="28"/>
        </w:rPr>
        <w:t>і</w:t>
      </w:r>
      <w:r w:rsidRPr="001E7BC6">
        <w:rPr>
          <w:sz w:val="28"/>
          <w:szCs w:val="28"/>
        </w:rPr>
        <w:t xml:space="preserve"> хіміотерапії, за програмою «Лікування хворих на вірусні гепатити» було закуплено противірусні препарати та проведено лікування </w:t>
      </w:r>
      <w:r>
        <w:rPr>
          <w:sz w:val="28"/>
          <w:szCs w:val="28"/>
        </w:rPr>
        <w:t>в</w:t>
      </w:r>
      <w:r w:rsidRPr="001E7BC6">
        <w:rPr>
          <w:sz w:val="28"/>
          <w:szCs w:val="28"/>
        </w:rPr>
        <w:t xml:space="preserve"> груп</w:t>
      </w:r>
      <w:r>
        <w:rPr>
          <w:sz w:val="28"/>
          <w:szCs w:val="28"/>
        </w:rPr>
        <w:t>ах</w:t>
      </w:r>
      <w:r w:rsidRPr="001E7BC6">
        <w:rPr>
          <w:sz w:val="28"/>
          <w:szCs w:val="28"/>
        </w:rPr>
        <w:t xml:space="preserve"> гематологічних хворих. Зокрема, </w:t>
      </w:r>
      <w:r>
        <w:rPr>
          <w:sz w:val="28"/>
          <w:szCs w:val="28"/>
        </w:rPr>
        <w:t>в</w:t>
      </w:r>
      <w:r w:rsidRPr="001E7BC6">
        <w:rPr>
          <w:sz w:val="28"/>
          <w:szCs w:val="28"/>
        </w:rPr>
        <w:t xml:space="preserve"> пацієнтів із такими діагнозами: не</w:t>
      </w:r>
      <w:r>
        <w:rPr>
          <w:sz w:val="28"/>
          <w:szCs w:val="28"/>
        </w:rPr>
        <w:t>г</w:t>
      </w:r>
      <w:r w:rsidRPr="001E7BC6">
        <w:rPr>
          <w:sz w:val="28"/>
          <w:szCs w:val="28"/>
        </w:rPr>
        <w:t>оджкінська лімфома (5); мієлодиспластичний синдром (1); лімфома Годжкіна (1); гемофілія А (13) та В (3); лейкопенія (3); дезагрегаційна тромбоцитопатія (16); імунна тромбоцитопенічна пурпура (13); вторинний еритроцитоз (5); залізодефіцитна анемія (5); істинна поліцитемія (2); хронічний лімфолейкоз (1). Противірусна терапія проводилас</w:t>
      </w:r>
      <w:r>
        <w:rPr>
          <w:sz w:val="28"/>
          <w:szCs w:val="28"/>
        </w:rPr>
        <w:t>я</w:t>
      </w:r>
      <w:r w:rsidRPr="001E7BC6">
        <w:rPr>
          <w:sz w:val="28"/>
          <w:szCs w:val="28"/>
        </w:rPr>
        <w:t xml:space="preserve"> згідно </w:t>
      </w:r>
      <w:r>
        <w:rPr>
          <w:sz w:val="28"/>
          <w:szCs w:val="28"/>
        </w:rPr>
        <w:t xml:space="preserve">з </w:t>
      </w:r>
      <w:r w:rsidRPr="001E7BC6">
        <w:rPr>
          <w:sz w:val="28"/>
          <w:szCs w:val="28"/>
        </w:rPr>
        <w:t>клінічн</w:t>
      </w:r>
      <w:r>
        <w:rPr>
          <w:sz w:val="28"/>
          <w:szCs w:val="28"/>
        </w:rPr>
        <w:t>им</w:t>
      </w:r>
      <w:r w:rsidRPr="001E7BC6">
        <w:rPr>
          <w:sz w:val="28"/>
          <w:szCs w:val="28"/>
        </w:rPr>
        <w:t xml:space="preserve"> протокол</w:t>
      </w:r>
      <w:r>
        <w:rPr>
          <w:sz w:val="28"/>
          <w:szCs w:val="28"/>
        </w:rPr>
        <w:t>ом</w:t>
      </w:r>
      <w:r w:rsidRPr="001E7BC6">
        <w:rPr>
          <w:sz w:val="28"/>
          <w:szCs w:val="28"/>
        </w:rPr>
        <w:t xml:space="preserve"> лікування вірусних гепатитів В та С у гематологічних пацієнтів під </w:t>
      </w:r>
      <w:r w:rsidRPr="001E7BC6">
        <w:rPr>
          <w:sz w:val="28"/>
          <w:szCs w:val="28"/>
        </w:rPr>
        <w:lastRenderedPageBreak/>
        <w:t xml:space="preserve">наглядом лікаря-інфекціоніста </w:t>
      </w:r>
      <w:r>
        <w:rPr>
          <w:sz w:val="28"/>
          <w:szCs w:val="28"/>
        </w:rPr>
        <w:t>й</w:t>
      </w:r>
      <w:r w:rsidRPr="001E7BC6">
        <w:rPr>
          <w:sz w:val="28"/>
          <w:szCs w:val="28"/>
        </w:rPr>
        <w:t xml:space="preserve"> гематолога. Більшість хворих переносили лікуванн</w:t>
      </w:r>
      <w:r>
        <w:rPr>
          <w:sz w:val="28"/>
          <w:szCs w:val="28"/>
        </w:rPr>
        <w:t>я задовільно та без ускладнень.</w:t>
      </w:r>
    </w:p>
    <w:p w:rsidR="00B87C6E" w:rsidRPr="001E7BC6" w:rsidRDefault="00B87C6E" w:rsidP="00B87C6E">
      <w:pPr>
        <w:spacing w:after="120" w:line="276" w:lineRule="auto"/>
        <w:ind w:firstLine="709"/>
        <w:jc w:val="both"/>
        <w:rPr>
          <w:sz w:val="28"/>
          <w:szCs w:val="28"/>
        </w:rPr>
      </w:pPr>
      <w:r w:rsidRPr="001E7BC6">
        <w:rPr>
          <w:b/>
          <w:sz w:val="28"/>
          <w:szCs w:val="28"/>
        </w:rPr>
        <w:t>Висновки.</w:t>
      </w:r>
      <w:r w:rsidRPr="001E7BC6">
        <w:rPr>
          <w:sz w:val="28"/>
          <w:szCs w:val="28"/>
        </w:rPr>
        <w:t xml:space="preserve"> Останні</w:t>
      </w:r>
      <w:r>
        <w:rPr>
          <w:sz w:val="28"/>
          <w:szCs w:val="28"/>
        </w:rPr>
        <w:t>ми</w:t>
      </w:r>
      <w:r w:rsidRPr="001E7BC6">
        <w:rPr>
          <w:sz w:val="28"/>
          <w:szCs w:val="28"/>
        </w:rPr>
        <w:t xml:space="preserve"> рок</w:t>
      </w:r>
      <w:r>
        <w:rPr>
          <w:sz w:val="28"/>
          <w:szCs w:val="28"/>
        </w:rPr>
        <w:t>ам</w:t>
      </w:r>
      <w:r w:rsidRPr="001E7BC6">
        <w:rPr>
          <w:sz w:val="28"/>
          <w:szCs w:val="28"/>
        </w:rPr>
        <w:t>и противірусні препарати прямої дії стали стандарт</w:t>
      </w:r>
      <w:r>
        <w:rPr>
          <w:sz w:val="28"/>
          <w:szCs w:val="28"/>
        </w:rPr>
        <w:t>о</w:t>
      </w:r>
      <w:r w:rsidRPr="001E7BC6">
        <w:rPr>
          <w:sz w:val="28"/>
          <w:szCs w:val="28"/>
        </w:rPr>
        <w:t xml:space="preserve">м лікування </w:t>
      </w:r>
      <w:r>
        <w:rPr>
          <w:sz w:val="28"/>
          <w:szCs w:val="28"/>
        </w:rPr>
        <w:t>в</w:t>
      </w:r>
      <w:r w:rsidRPr="001E7BC6">
        <w:rPr>
          <w:sz w:val="28"/>
          <w:szCs w:val="28"/>
        </w:rPr>
        <w:t xml:space="preserve"> гематологічних пацієнтів. На сьогодні ВГС не </w:t>
      </w:r>
      <w:r>
        <w:rPr>
          <w:sz w:val="28"/>
          <w:szCs w:val="28"/>
        </w:rPr>
        <w:t>має</w:t>
      </w:r>
      <w:r w:rsidRPr="001E7BC6">
        <w:rPr>
          <w:sz w:val="28"/>
          <w:szCs w:val="28"/>
        </w:rPr>
        <w:t xml:space="preserve"> стати на заваді повноцінного лікування </w:t>
      </w:r>
      <w:r>
        <w:rPr>
          <w:sz w:val="28"/>
          <w:szCs w:val="28"/>
        </w:rPr>
        <w:t>в</w:t>
      </w:r>
      <w:r w:rsidRPr="001E7BC6">
        <w:rPr>
          <w:sz w:val="28"/>
          <w:szCs w:val="28"/>
        </w:rPr>
        <w:t xml:space="preserve"> гематологічних хворих, оскільки більшість інфікованих пацієнтів можуть отримувати противірусну терапію.</w:t>
      </w:r>
    </w:p>
    <w:p w:rsidR="00B87C6E" w:rsidRPr="001E7BC6" w:rsidRDefault="00B87C6E" w:rsidP="00B87C6E">
      <w:pPr>
        <w:autoSpaceDE w:val="0"/>
        <w:autoSpaceDN w:val="0"/>
        <w:adjustRightInd w:val="0"/>
        <w:spacing w:after="120" w:line="276" w:lineRule="auto"/>
        <w:ind w:firstLine="709"/>
        <w:jc w:val="both"/>
        <w:rPr>
          <w:sz w:val="28"/>
          <w:szCs w:val="28"/>
        </w:rPr>
      </w:pPr>
      <w:r w:rsidRPr="001E7BC6">
        <w:rPr>
          <w:b/>
          <w:sz w:val="28"/>
          <w:szCs w:val="28"/>
        </w:rPr>
        <w:t>Ключові слова:</w:t>
      </w:r>
      <w:r w:rsidRPr="001E7BC6">
        <w:rPr>
          <w:sz w:val="28"/>
          <w:szCs w:val="28"/>
        </w:rPr>
        <w:t xml:space="preserve"> вірусний гепатит С, противірусні препарати, гематологічні захворювання.</w:t>
      </w:r>
    </w:p>
    <w:p w:rsidR="00B87C6E" w:rsidRPr="002F71FF" w:rsidRDefault="00B87C6E" w:rsidP="00B87C6E">
      <w:pPr>
        <w:ind w:firstLine="0"/>
        <w:rPr>
          <w:i/>
          <w:sz w:val="28"/>
          <w:szCs w:val="28"/>
        </w:rPr>
      </w:pPr>
      <w:r w:rsidRPr="002F71FF">
        <w:rPr>
          <w:i/>
          <w:sz w:val="28"/>
          <w:szCs w:val="28"/>
        </w:rPr>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B87C6E" w:rsidRPr="00B87C6E" w:rsidRDefault="00B87C6E" w:rsidP="00B87C6E">
      <w:pPr>
        <w:spacing w:after="120"/>
        <w:ind w:firstLine="0"/>
        <w:jc w:val="both"/>
        <w:rPr>
          <w:sz w:val="28"/>
          <w:szCs w:val="28"/>
        </w:rPr>
      </w:pPr>
    </w:p>
    <w:p w:rsidR="00B87C6E" w:rsidRPr="00E86C25" w:rsidRDefault="00B87C6E" w:rsidP="00B87C6E">
      <w:pPr>
        <w:spacing w:after="120" w:line="276" w:lineRule="auto"/>
        <w:ind w:firstLine="0"/>
        <w:jc w:val="both"/>
        <w:rPr>
          <w:b/>
          <w:sz w:val="32"/>
          <w:szCs w:val="28"/>
          <w:lang w:val="en-US"/>
        </w:rPr>
      </w:pPr>
      <w:r w:rsidRPr="00E86C25">
        <w:rPr>
          <w:b/>
          <w:sz w:val="32"/>
          <w:szCs w:val="28"/>
          <w:lang w:val="en-US"/>
        </w:rPr>
        <w:t>Current issues of application of anti-viral drugs in hematological patients with hepatitis C virus</w:t>
      </w:r>
    </w:p>
    <w:p w:rsidR="00B87C6E" w:rsidRPr="00E86C25" w:rsidRDefault="00B87C6E" w:rsidP="00B87C6E">
      <w:pPr>
        <w:spacing w:after="120" w:line="276" w:lineRule="auto"/>
        <w:ind w:firstLine="0"/>
        <w:jc w:val="both"/>
        <w:rPr>
          <w:b/>
          <w:sz w:val="26"/>
          <w:szCs w:val="26"/>
          <w:lang w:val="en-US"/>
        </w:rPr>
      </w:pPr>
      <w:r w:rsidRPr="00E86C25">
        <w:rPr>
          <w:b/>
          <w:sz w:val="26"/>
          <w:szCs w:val="26"/>
          <w:lang w:val="en-US"/>
        </w:rPr>
        <w:t>Yurchyshak I.M.</w:t>
      </w:r>
      <w:r w:rsidRPr="00E86C25">
        <w:rPr>
          <w:b/>
          <w:sz w:val="26"/>
          <w:szCs w:val="26"/>
          <w:vertAlign w:val="superscript"/>
          <w:lang w:val="en-US"/>
        </w:rPr>
        <w:t>1</w:t>
      </w:r>
      <w:r w:rsidRPr="00E86C25">
        <w:rPr>
          <w:b/>
          <w:sz w:val="26"/>
          <w:szCs w:val="26"/>
          <w:lang w:val="en-US"/>
        </w:rPr>
        <w:t>, Kiselyk I.O.</w:t>
      </w:r>
      <w:r w:rsidRPr="00E86C25">
        <w:rPr>
          <w:b/>
          <w:sz w:val="26"/>
          <w:szCs w:val="26"/>
          <w:vertAlign w:val="superscript"/>
          <w:lang w:val="en-US"/>
        </w:rPr>
        <w:t>2</w:t>
      </w:r>
      <w:r w:rsidRPr="00E86C25">
        <w:rPr>
          <w:b/>
          <w:sz w:val="26"/>
          <w:szCs w:val="26"/>
          <w:lang w:val="en-US"/>
        </w:rPr>
        <w:t>, Shurko N.O.</w:t>
      </w:r>
      <w:r w:rsidRPr="00E86C25">
        <w:rPr>
          <w:b/>
          <w:sz w:val="26"/>
          <w:szCs w:val="26"/>
          <w:vertAlign w:val="superscript"/>
          <w:lang w:val="en-US"/>
        </w:rPr>
        <w:t>1</w:t>
      </w:r>
      <w:r w:rsidRPr="00E86C25">
        <w:rPr>
          <w:b/>
          <w:sz w:val="26"/>
          <w:szCs w:val="26"/>
          <w:lang w:val="en-US"/>
        </w:rPr>
        <w:t>, Novak V.L.</w:t>
      </w:r>
      <w:r w:rsidRPr="00E86C25">
        <w:rPr>
          <w:b/>
          <w:sz w:val="26"/>
          <w:szCs w:val="26"/>
          <w:vertAlign w:val="superscript"/>
          <w:lang w:val="en-US"/>
        </w:rPr>
        <w:t>1</w:t>
      </w:r>
    </w:p>
    <w:p w:rsidR="00B87C6E" w:rsidRPr="00E86C25" w:rsidRDefault="00B87C6E" w:rsidP="00B87C6E">
      <w:pPr>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State Institution “Institute of Blood Pathology and Transfusion Medicine of the National Academy of Medical Sciences of Ukraine”, Lviv, Ukraine</w:t>
      </w:r>
    </w:p>
    <w:p w:rsidR="00B87C6E" w:rsidRPr="00E86C25" w:rsidRDefault="00B87C6E" w:rsidP="00B87C6E">
      <w:pPr>
        <w:shd w:val="clear" w:color="auto" w:fill="FFFFFF"/>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w:t>
      </w:r>
      <w:hyperlink r:id="rId5" w:history="1">
        <w:r w:rsidRPr="00E86C25">
          <w:rPr>
            <w:sz w:val="26"/>
            <w:szCs w:val="26"/>
            <w:lang w:val="en-US"/>
          </w:rPr>
          <w:t>Danylo Halytsky Lviv National Medical University</w:t>
        </w:r>
      </w:hyperlink>
      <w:r w:rsidRPr="00E86C25">
        <w:rPr>
          <w:sz w:val="26"/>
          <w:szCs w:val="26"/>
          <w:lang w:val="en-US"/>
        </w:rPr>
        <w:t>, Lviv, Ukraine</w:t>
      </w:r>
    </w:p>
    <w:p w:rsidR="00B87C6E" w:rsidRPr="001E7BC6" w:rsidRDefault="00B87C6E" w:rsidP="00B87C6E">
      <w:pPr>
        <w:spacing w:after="120" w:line="276" w:lineRule="auto"/>
        <w:ind w:firstLine="709"/>
        <w:jc w:val="both"/>
        <w:rPr>
          <w:sz w:val="28"/>
          <w:szCs w:val="28"/>
          <w:lang w:val="en-US"/>
        </w:rPr>
      </w:pPr>
      <w:r>
        <w:rPr>
          <w:b/>
          <w:sz w:val="28"/>
          <w:szCs w:val="28"/>
          <w:lang w:val="en-US"/>
        </w:rPr>
        <w:t>Objective</w:t>
      </w:r>
      <w:r w:rsidRPr="001E7BC6">
        <w:rPr>
          <w:b/>
          <w:sz w:val="28"/>
          <w:szCs w:val="28"/>
          <w:lang w:val="en-US"/>
        </w:rPr>
        <w:t>.</w:t>
      </w:r>
      <w:r w:rsidRPr="001E7BC6">
        <w:rPr>
          <w:sz w:val="28"/>
          <w:szCs w:val="28"/>
          <w:lang w:val="en-US"/>
        </w:rPr>
        <w:t xml:space="preserve"> To analyze the effectivity of the use of antiviral drugs Sovaldi 400 mg and Harvoni 90/400 mg in hematological patients.</w:t>
      </w:r>
    </w:p>
    <w:p w:rsidR="00B87C6E" w:rsidRPr="001E7BC6" w:rsidRDefault="00B87C6E" w:rsidP="00B87C6E">
      <w:pPr>
        <w:spacing w:after="120" w:line="276" w:lineRule="auto"/>
        <w:ind w:firstLine="709"/>
        <w:jc w:val="both"/>
        <w:rPr>
          <w:sz w:val="28"/>
          <w:szCs w:val="28"/>
          <w:lang w:val="en-US"/>
        </w:rPr>
      </w:pPr>
      <w:r w:rsidRPr="001E7BC6">
        <w:rPr>
          <w:b/>
          <w:sz w:val="28"/>
          <w:szCs w:val="28"/>
          <w:lang w:val="en-US"/>
        </w:rPr>
        <w:t>Materials and methods.</w:t>
      </w:r>
      <w:r w:rsidRPr="001E7BC6">
        <w:rPr>
          <w:sz w:val="28"/>
          <w:szCs w:val="28"/>
          <w:lang w:val="en-US"/>
        </w:rPr>
        <w:t xml:space="preserve"> Under our supervision there were 68 patients</w:t>
      </w:r>
      <w:r>
        <w:rPr>
          <w:sz w:val="28"/>
          <w:szCs w:val="28"/>
          <w:lang w:val="en-US"/>
        </w:rPr>
        <w:t>:</w:t>
      </w:r>
      <w:r w:rsidRPr="001E7BC6">
        <w:rPr>
          <w:sz w:val="28"/>
          <w:szCs w:val="28"/>
          <w:lang w:val="en-US"/>
        </w:rPr>
        <w:t xml:space="preserve"> 43 (63</w:t>
      </w:r>
      <w:r>
        <w:rPr>
          <w:sz w:val="28"/>
          <w:szCs w:val="28"/>
          <w:lang w:val="en-US"/>
        </w:rPr>
        <w:t> </w:t>
      </w:r>
      <w:r w:rsidRPr="001E7BC6">
        <w:rPr>
          <w:sz w:val="28"/>
          <w:szCs w:val="28"/>
          <w:lang w:val="en-US"/>
        </w:rPr>
        <w:t>%) male and 25 (37</w:t>
      </w:r>
      <w:r>
        <w:rPr>
          <w:sz w:val="28"/>
          <w:szCs w:val="28"/>
          <w:lang w:val="en-US"/>
        </w:rPr>
        <w:t> </w:t>
      </w:r>
      <w:r w:rsidRPr="001E7BC6">
        <w:rPr>
          <w:sz w:val="28"/>
          <w:szCs w:val="28"/>
          <w:lang w:val="en-US"/>
        </w:rPr>
        <w:t>%) female</w:t>
      </w:r>
      <w:r>
        <w:rPr>
          <w:sz w:val="28"/>
          <w:szCs w:val="28"/>
          <w:lang w:val="en-US"/>
        </w:rPr>
        <w:t>,</w:t>
      </w:r>
      <w:r w:rsidRPr="001E7BC6">
        <w:rPr>
          <w:sz w:val="28"/>
          <w:szCs w:val="28"/>
          <w:lang w:val="en-US"/>
        </w:rPr>
        <w:t xml:space="preserve"> age from 23 to 80 years</w:t>
      </w:r>
      <w:r>
        <w:rPr>
          <w:sz w:val="28"/>
          <w:szCs w:val="28"/>
          <w:lang w:val="en-US"/>
        </w:rPr>
        <w:t>,</w:t>
      </w:r>
      <w:r w:rsidRPr="001E7BC6">
        <w:rPr>
          <w:sz w:val="28"/>
          <w:szCs w:val="28"/>
          <w:lang w:val="en-US"/>
        </w:rPr>
        <w:t xml:space="preserve"> who were treated with antiviral medications intended to hepatitis C virus (HCV). The drugs had prescribed depending on the genotype of the virus; the degree of liver damage; factors that aggravate the course of the disease and the treatment process; responses and adverse reactions that may occur during the process of taking the drug and the timing of use. The 26 patients with genotypes 1 (3), 1c (4), 2 (4), 3a (14)</w:t>
      </w:r>
      <w:r>
        <w:rPr>
          <w:sz w:val="28"/>
          <w:szCs w:val="28"/>
          <w:lang w:val="en-US"/>
        </w:rPr>
        <w:t xml:space="preserve"> </w:t>
      </w:r>
      <w:r w:rsidRPr="001E7BC6">
        <w:rPr>
          <w:sz w:val="28"/>
          <w:szCs w:val="28"/>
          <w:lang w:val="en-US"/>
        </w:rPr>
        <w:t xml:space="preserve">and 1 patient with atypical genotype Sovaldi 400 mg received. Harvoni 90/400 mg was used for treatment HCV 1b genotype </w:t>
      </w:r>
      <w:r>
        <w:rPr>
          <w:sz w:val="28"/>
          <w:szCs w:val="28"/>
          <w:lang w:val="en-US"/>
        </w:rPr>
        <w:t xml:space="preserve">in </w:t>
      </w:r>
      <w:r w:rsidRPr="001E7BC6">
        <w:rPr>
          <w:sz w:val="28"/>
          <w:szCs w:val="28"/>
          <w:lang w:val="en-US"/>
        </w:rPr>
        <w:t xml:space="preserve">41 patients and </w:t>
      </w:r>
      <w:r>
        <w:rPr>
          <w:sz w:val="28"/>
          <w:szCs w:val="28"/>
          <w:lang w:val="en-US"/>
        </w:rPr>
        <w:t xml:space="preserve">in </w:t>
      </w:r>
      <w:r w:rsidRPr="001E7BC6">
        <w:rPr>
          <w:sz w:val="28"/>
          <w:szCs w:val="28"/>
          <w:lang w:val="en-US"/>
        </w:rPr>
        <w:t>1 patient with an atypical genotype. To all patients were investigation according to the algorithm for the diagnosis and treatment of HCV</w:t>
      </w:r>
      <w:r>
        <w:rPr>
          <w:sz w:val="28"/>
          <w:szCs w:val="28"/>
          <w:lang w:val="en-US"/>
        </w:rPr>
        <w:t>:</w:t>
      </w:r>
      <w:r w:rsidRPr="001E7BC6">
        <w:rPr>
          <w:sz w:val="28"/>
          <w:szCs w:val="28"/>
          <w:lang w:val="en-US"/>
        </w:rPr>
        <w:t xml:space="preserve"> general clinical (biochemical and hematological) studies and examinations to determine the genotype of the virus, viral load, the degree of liver fibrosis.</w:t>
      </w:r>
    </w:p>
    <w:p w:rsidR="00B87C6E" w:rsidRPr="00814404" w:rsidRDefault="00B87C6E" w:rsidP="00B87C6E">
      <w:pPr>
        <w:spacing w:after="120" w:line="276" w:lineRule="auto"/>
        <w:ind w:firstLine="709"/>
        <w:jc w:val="both"/>
        <w:rPr>
          <w:color w:val="222222"/>
          <w:spacing w:val="-4"/>
          <w:sz w:val="28"/>
          <w:szCs w:val="28"/>
          <w:shd w:val="clear" w:color="auto" w:fill="F8F9FA"/>
          <w:lang w:val="en-US"/>
        </w:rPr>
      </w:pPr>
      <w:r w:rsidRPr="00814404">
        <w:rPr>
          <w:b/>
          <w:spacing w:val="-4"/>
          <w:sz w:val="28"/>
          <w:szCs w:val="28"/>
          <w:lang w:val="en-US"/>
        </w:rPr>
        <w:t>Results and discussion.</w:t>
      </w:r>
      <w:r w:rsidRPr="00814404">
        <w:rPr>
          <w:spacing w:val="-4"/>
          <w:sz w:val="28"/>
          <w:szCs w:val="28"/>
          <w:lang w:val="en-US"/>
        </w:rPr>
        <w:t xml:space="preserve"> Given the high infection rate of hematological patients with HCV, which does not allow full treatment, including surgery and chemotherapy, </w:t>
      </w:r>
      <w:r w:rsidRPr="00814404">
        <w:rPr>
          <w:spacing w:val="-4"/>
          <w:sz w:val="28"/>
          <w:szCs w:val="28"/>
          <w:lang w:val="en-US"/>
        </w:rPr>
        <w:lastRenderedPageBreak/>
        <w:t xml:space="preserve">under the program “Treatment of patients with viral hepatitis” antiviral drugs were purchased and treatment was performed in groups of hematological patients. In particular, in patients with the following diagnoses: non-Hodgkin lymphoma (5); myelodysplastic syndromes (1); Hodgkin lymphoma (1); haemophilia A (13) and B (3); leukopenia (3); disaggregation thrombocytopathy (16); immune thrombocytopenic purpura (13); secondary erythrocytosis (5); iron deficiency anemia (5); polycythemia vera (2); chronic lymphocytic leukemia (1). </w:t>
      </w:r>
      <w:r w:rsidRPr="00814404">
        <w:rPr>
          <w:color w:val="222222"/>
          <w:spacing w:val="-4"/>
          <w:sz w:val="28"/>
          <w:szCs w:val="28"/>
          <w:lang w:val="en-US"/>
        </w:rPr>
        <w:t xml:space="preserve">Antiviral therapy was performed according to the clinical protocol for the treatment of viral hepatitis B and C in hematological patients under the supervision of </w:t>
      </w:r>
      <w:r w:rsidRPr="00814404">
        <w:rPr>
          <w:spacing w:val="-4"/>
          <w:sz w:val="28"/>
          <w:szCs w:val="28"/>
          <w:lang w:val="en-US"/>
        </w:rPr>
        <w:t>an infectious disease specialist</w:t>
      </w:r>
      <w:r w:rsidRPr="00814404">
        <w:rPr>
          <w:color w:val="222222"/>
          <w:spacing w:val="-4"/>
          <w:sz w:val="28"/>
          <w:szCs w:val="28"/>
          <w:lang w:val="en-US"/>
        </w:rPr>
        <w:t xml:space="preserve"> and hematologist. Most patients tolerated treatment satisfactorily and without complications.</w:t>
      </w:r>
    </w:p>
    <w:p w:rsidR="00B87C6E" w:rsidRPr="00814404" w:rsidRDefault="00B87C6E" w:rsidP="00B87C6E">
      <w:pPr>
        <w:spacing w:after="120" w:line="276" w:lineRule="auto"/>
        <w:ind w:firstLine="709"/>
        <w:jc w:val="both"/>
        <w:rPr>
          <w:spacing w:val="4"/>
          <w:sz w:val="28"/>
          <w:szCs w:val="28"/>
          <w:lang w:val="en-US"/>
        </w:rPr>
      </w:pPr>
      <w:r w:rsidRPr="00814404">
        <w:rPr>
          <w:b/>
          <w:spacing w:val="4"/>
          <w:sz w:val="28"/>
          <w:szCs w:val="28"/>
          <w:lang w:val="en-US"/>
        </w:rPr>
        <w:t>Conclusions.</w:t>
      </w:r>
      <w:r w:rsidRPr="00814404">
        <w:rPr>
          <w:spacing w:val="4"/>
          <w:sz w:val="28"/>
          <w:szCs w:val="28"/>
          <w:lang w:val="en-US"/>
        </w:rPr>
        <w:t xml:space="preserve"> In the last years, direct-acting antiviral drugs become the standard of treatment in hematological patients. For today, HCV should not hinder on the basic of full treatment in the hematological patients as most infected patients may receive antiviral therapy.</w:t>
      </w:r>
    </w:p>
    <w:p w:rsidR="00B87C6E" w:rsidRPr="001E7BC6" w:rsidRDefault="00B87C6E" w:rsidP="00B87C6E">
      <w:pPr>
        <w:spacing w:after="120" w:line="276" w:lineRule="auto"/>
        <w:ind w:firstLine="709"/>
        <w:jc w:val="both"/>
        <w:rPr>
          <w:sz w:val="28"/>
          <w:szCs w:val="28"/>
          <w:lang w:val="en-US"/>
        </w:rPr>
      </w:pPr>
      <w:r w:rsidRPr="001E7BC6">
        <w:rPr>
          <w:b/>
          <w:sz w:val="28"/>
          <w:szCs w:val="28"/>
          <w:lang w:val="en-US"/>
        </w:rPr>
        <w:t>Key</w:t>
      </w:r>
      <w:r>
        <w:rPr>
          <w:b/>
          <w:sz w:val="28"/>
          <w:szCs w:val="28"/>
          <w:lang w:val="en-US"/>
        </w:rPr>
        <w:t xml:space="preserve"> </w:t>
      </w:r>
      <w:r w:rsidRPr="001E7BC6">
        <w:rPr>
          <w:b/>
          <w:sz w:val="28"/>
          <w:szCs w:val="28"/>
          <w:lang w:val="en-US"/>
        </w:rPr>
        <w:t>words</w:t>
      </w:r>
      <w:r>
        <w:rPr>
          <w:b/>
          <w:sz w:val="28"/>
          <w:szCs w:val="28"/>
          <w:lang w:val="en-US"/>
        </w:rPr>
        <w:t>:</w:t>
      </w:r>
      <w:r w:rsidRPr="001E7BC6">
        <w:rPr>
          <w:sz w:val="28"/>
          <w:szCs w:val="28"/>
          <w:lang w:val="en-US"/>
        </w:rPr>
        <w:t xml:space="preserve"> hepatitis C virus, antiviral drugs, hematological diseases.</w:t>
      </w:r>
    </w:p>
    <w:p w:rsidR="00E75AA7" w:rsidRPr="00001CD2" w:rsidRDefault="00B87C6E" w:rsidP="00001CD2">
      <w:pPr>
        <w:spacing w:after="120" w:line="276" w:lineRule="auto"/>
        <w:ind w:firstLine="0"/>
        <w:jc w:val="both"/>
        <w:rPr>
          <w:sz w:val="28"/>
          <w:szCs w:val="28"/>
          <w:lang w:val="en-US"/>
        </w:rPr>
      </w:pPr>
      <w:r w:rsidRPr="002F71FF">
        <w:rPr>
          <w:i/>
          <w:color w:val="000000"/>
          <w:sz w:val="28"/>
          <w:szCs w:val="28"/>
          <w:lang w:val="en-US"/>
        </w:rPr>
        <w:t>* The theses of the Congress on Infusion Therapy are published in the "</w:t>
      </w:r>
      <w:hyperlink r:id="rId6" w:history="1">
        <w:r w:rsidRPr="002F71FF">
          <w:rPr>
            <w:rStyle w:val="a6"/>
            <w:i/>
            <w:sz w:val="28"/>
            <w:szCs w:val="28"/>
            <w:lang w:val="en-US"/>
          </w:rPr>
          <w:t>Infusion &amp; Chemotherapy</w:t>
        </w:r>
      </w:hyperlink>
      <w:r w:rsidRPr="002F71FF">
        <w:rPr>
          <w:i/>
          <w:color w:val="000000"/>
          <w:sz w:val="28"/>
          <w:szCs w:val="28"/>
          <w:lang w:val="en-US"/>
        </w:rPr>
        <w:t>" journ</w:t>
      </w:r>
      <w:bookmarkStart w:id="0" w:name="_GoBack"/>
      <w:bookmarkEnd w:id="0"/>
      <w:r w:rsidRPr="002F71FF">
        <w:rPr>
          <w:i/>
          <w:color w:val="000000"/>
          <w:sz w:val="28"/>
          <w:szCs w:val="28"/>
          <w:lang w:val="en-US"/>
        </w:rPr>
        <w:t>al.</w:t>
      </w:r>
    </w:p>
    <w:sectPr w:rsidR="00E75AA7" w:rsidRPr="00001CD2" w:rsidSect="00817A6B">
      <w:headerReference w:type="even" r:id="rId7"/>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rmanskFW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001C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001CD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6E"/>
    <w:rsid w:val="00001CD2"/>
    <w:rsid w:val="001B1407"/>
    <w:rsid w:val="003A11FD"/>
    <w:rsid w:val="008A164B"/>
    <w:rsid w:val="00B32924"/>
    <w:rsid w:val="00B87C6E"/>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5B638-B9B2-4F85-91B7-36E8F2A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6E"/>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7C6E"/>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B87C6E"/>
    <w:rPr>
      <w:rFonts w:ascii="Times New Roman" w:eastAsia="Times New Roman" w:hAnsi="Times New Roman" w:cs="Times New Roman"/>
      <w:sz w:val="20"/>
      <w:szCs w:val="20"/>
      <w:lang w:val="uk-UA" w:eastAsia="ru-RU"/>
    </w:rPr>
  </w:style>
  <w:style w:type="character" w:styleId="a5">
    <w:name w:val="page number"/>
    <w:uiPriority w:val="99"/>
    <w:rsid w:val="00B87C6E"/>
    <w:rPr>
      <w:rFonts w:cs="Times New Roman"/>
    </w:rPr>
  </w:style>
  <w:style w:type="character" w:styleId="a6">
    <w:name w:val="Hyperlink"/>
    <w:uiPriority w:val="99"/>
    <w:rsid w:val="00B87C6E"/>
    <w:rPr>
      <w:rFonts w:cs="Times New Roman"/>
      <w:color w:val="0000FF"/>
      <w:u w:val="single"/>
    </w:rPr>
  </w:style>
  <w:style w:type="paragraph" w:customStyle="1" w:styleId="1">
    <w:name w:val="Без интервала1"/>
    <w:link w:val="NoSpacingChar"/>
    <w:uiPriority w:val="99"/>
    <w:rsid w:val="00B87C6E"/>
    <w:rPr>
      <w:rFonts w:ascii="Calibri" w:eastAsia="Times New Roman" w:hAnsi="Calibri" w:cs="Times New Roman"/>
      <w:lang w:eastAsia="uk-UA"/>
    </w:rPr>
  </w:style>
  <w:style w:type="character" w:customStyle="1" w:styleId="NoSpacingChar">
    <w:name w:val="No Spacing Char"/>
    <w:link w:val="1"/>
    <w:uiPriority w:val="99"/>
    <w:locked/>
    <w:rsid w:val="00B87C6E"/>
    <w:rPr>
      <w:rFonts w:ascii="Calibri" w:eastAsia="Times New Roman" w:hAnsi="Calibri" w:cs="Times New Roman"/>
      <w:lang w:eastAsia="uk-UA"/>
    </w:rPr>
  </w:style>
  <w:style w:type="paragraph" w:customStyle="1" w:styleId="10">
    <w:name w:val="Без інтервалів1"/>
    <w:uiPriority w:val="99"/>
    <w:rsid w:val="00B87C6E"/>
    <w:pPr>
      <w:suppressAutoHyphens/>
    </w:pPr>
    <w:rPr>
      <w:rFonts w:ascii="MurmanskFWF" w:eastAsia="Times New Roman" w:hAnsi="MurmanskFWF" w:cs="Times New Roman"/>
      <w:sz w:val="24"/>
      <w:szCs w:val="20"/>
      <w:lang w:eastAsia="zh-CN"/>
    </w:rPr>
  </w:style>
  <w:style w:type="paragraph" w:customStyle="1" w:styleId="2">
    <w:name w:val="Без інтервалів2"/>
    <w:uiPriority w:val="99"/>
    <w:rsid w:val="00B87C6E"/>
    <w:rPr>
      <w:rFonts w:ascii="MurmanskFWF" w:eastAsia="Times New Roman" w:hAnsi="MurmanskFWF"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usiontherapy.org/en/news/tezisy-kongressa-po-infuzionnoy-terapii-opublikovany-v-zhurnale-infuziya-khimioterapiya--p278" TargetMode="External"/><Relationship Id="rId5" Type="http://schemas.openxmlformats.org/officeDocument/2006/relationships/hyperlink" Target="https://new.meduniv.lviv.ua/en/" TargetMode="External"/><Relationship Id="rId4" Type="http://schemas.openxmlformats.org/officeDocument/2006/relationships/hyperlink" Target="https://infusiontherapy.org/news/tezisy-kongressa-po-infuzionnoy-terapii-opublikovany-v-zhurnale-infuziya-khimioterapiya--p27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Company>SPecialiST RePack</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2</cp:revision>
  <dcterms:created xsi:type="dcterms:W3CDTF">2020-11-08T14:35:00Z</dcterms:created>
  <dcterms:modified xsi:type="dcterms:W3CDTF">2020-11-08T14:36:00Z</dcterms:modified>
</cp:coreProperties>
</file>