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D" w:rsidRPr="00E86C25" w:rsidRDefault="00D616CD" w:rsidP="00D616CD">
      <w:pPr>
        <w:pStyle w:val="a3"/>
        <w:spacing w:before="0" w:beforeAutospacing="0" w:after="120" w:afterAutospacing="0" w:line="276" w:lineRule="auto"/>
        <w:jc w:val="both"/>
        <w:rPr>
          <w:b/>
          <w:color w:val="0D0D0D"/>
          <w:sz w:val="32"/>
          <w:szCs w:val="28"/>
        </w:rPr>
      </w:pPr>
      <w:r w:rsidRPr="00E86C25">
        <w:rPr>
          <w:b/>
          <w:bCs/>
          <w:sz w:val="32"/>
          <w:szCs w:val="28"/>
        </w:rPr>
        <w:t xml:space="preserve">Влияние </w:t>
      </w:r>
      <w:proofErr w:type="spellStart"/>
      <w:r w:rsidRPr="00E86C25">
        <w:rPr>
          <w:b/>
          <w:bCs/>
          <w:sz w:val="32"/>
          <w:szCs w:val="28"/>
        </w:rPr>
        <w:t>миокардопротекции</w:t>
      </w:r>
      <w:proofErr w:type="spellEnd"/>
      <w:r w:rsidRPr="00E86C25">
        <w:rPr>
          <w:b/>
          <w:bCs/>
          <w:sz w:val="32"/>
          <w:szCs w:val="28"/>
        </w:rPr>
        <w:t xml:space="preserve"> на течение постинфарктной хронической сердечной недостаточности</w:t>
      </w:r>
    </w:p>
    <w:p w:rsidR="00D616CD" w:rsidRPr="00E86C25" w:rsidRDefault="00D616CD" w:rsidP="00D616CD">
      <w:pPr>
        <w:pStyle w:val="a3"/>
        <w:spacing w:before="0" w:beforeAutospacing="0" w:after="120" w:afterAutospacing="0" w:line="276" w:lineRule="auto"/>
        <w:jc w:val="both"/>
        <w:rPr>
          <w:b/>
          <w:color w:val="0D0D0D"/>
          <w:sz w:val="26"/>
          <w:szCs w:val="26"/>
        </w:rPr>
      </w:pPr>
      <w:proofErr w:type="spellStart"/>
      <w:r w:rsidRPr="00E86C25">
        <w:rPr>
          <w:b/>
          <w:color w:val="0D0D0D"/>
          <w:sz w:val="26"/>
          <w:szCs w:val="26"/>
        </w:rPr>
        <w:t>Рузиева</w:t>
      </w:r>
      <w:proofErr w:type="spellEnd"/>
      <w:r w:rsidRPr="00E86C25">
        <w:rPr>
          <w:b/>
          <w:color w:val="0D0D0D"/>
          <w:sz w:val="26"/>
          <w:szCs w:val="26"/>
        </w:rPr>
        <w:t xml:space="preserve"> А.А.</w:t>
      </w:r>
    </w:p>
    <w:p w:rsidR="00D616CD" w:rsidRPr="00E86C25" w:rsidRDefault="00D616CD" w:rsidP="00D616CD">
      <w:pPr>
        <w:pStyle w:val="a3"/>
        <w:spacing w:before="0" w:beforeAutospacing="0" w:after="120" w:afterAutospacing="0" w:line="276" w:lineRule="auto"/>
        <w:jc w:val="both"/>
        <w:rPr>
          <w:color w:val="0D0D0D"/>
          <w:sz w:val="26"/>
          <w:szCs w:val="26"/>
        </w:rPr>
      </w:pPr>
      <w:r w:rsidRPr="00E86C25">
        <w:rPr>
          <w:color w:val="0D0D0D"/>
          <w:sz w:val="26"/>
          <w:szCs w:val="26"/>
        </w:rPr>
        <w:t xml:space="preserve">Самаркандский государственный медицинский институт, </w:t>
      </w:r>
      <w:proofErr w:type="gramStart"/>
      <w:r w:rsidRPr="00E86C25">
        <w:rPr>
          <w:color w:val="0D0D0D"/>
          <w:sz w:val="26"/>
          <w:szCs w:val="26"/>
        </w:rPr>
        <w:t>г</w:t>
      </w:r>
      <w:proofErr w:type="gramEnd"/>
      <w:r w:rsidRPr="00E86C25">
        <w:rPr>
          <w:color w:val="0D0D0D"/>
          <w:sz w:val="26"/>
          <w:szCs w:val="26"/>
        </w:rPr>
        <w:t>. Самарканд, Узбекистан</w:t>
      </w:r>
    </w:p>
    <w:p w:rsidR="00D616CD" w:rsidRPr="00A640B1" w:rsidRDefault="00D616CD" w:rsidP="00D616CD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A640B1">
        <w:rPr>
          <w:b/>
          <w:color w:val="0D0D0D"/>
          <w:sz w:val="28"/>
          <w:szCs w:val="28"/>
          <w:lang w:val="ru-RU"/>
        </w:rPr>
        <w:t>Цель.</w:t>
      </w:r>
      <w:r w:rsidRPr="00A640B1">
        <w:rPr>
          <w:color w:val="0D0D0D"/>
          <w:sz w:val="28"/>
          <w:szCs w:val="28"/>
          <w:lang w:val="ru-RU"/>
        </w:rPr>
        <w:t xml:space="preserve"> Изучить влияние </w:t>
      </w:r>
      <w:proofErr w:type="spellStart"/>
      <w:r w:rsidRPr="00A640B1">
        <w:rPr>
          <w:color w:val="0D0D0D"/>
          <w:sz w:val="28"/>
          <w:szCs w:val="28"/>
          <w:lang w:val="ru-RU"/>
        </w:rPr>
        <w:t>Тиотриазолина</w:t>
      </w:r>
      <w:proofErr w:type="spellEnd"/>
      <w:r w:rsidRPr="00A640B1">
        <w:rPr>
          <w:color w:val="0D0D0D"/>
          <w:sz w:val="28"/>
          <w:szCs w:val="28"/>
          <w:lang w:val="ru-RU"/>
        </w:rPr>
        <w:t xml:space="preserve"> у больных </w:t>
      </w:r>
      <w:r w:rsidRPr="00A640B1">
        <w:rPr>
          <w:sz w:val="28"/>
          <w:szCs w:val="28"/>
          <w:lang w:val="ru-RU"/>
        </w:rPr>
        <w:t>постинфарктной хронической сердечной недостаточностью</w:t>
      </w:r>
      <w:r>
        <w:rPr>
          <w:sz w:val="28"/>
          <w:szCs w:val="28"/>
          <w:lang w:val="ru-RU"/>
        </w:rPr>
        <w:t xml:space="preserve"> (ХСН)</w:t>
      </w:r>
      <w:r w:rsidRPr="00A640B1">
        <w:rPr>
          <w:sz w:val="28"/>
          <w:szCs w:val="28"/>
          <w:lang w:val="ru-RU"/>
        </w:rPr>
        <w:t>.</w:t>
      </w:r>
    </w:p>
    <w:p w:rsidR="00D616CD" w:rsidRPr="00A640B1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0B1">
        <w:rPr>
          <w:rFonts w:ascii="Times New Roman" w:hAnsi="Times New Roman" w:cs="Times New Roman"/>
          <w:b/>
          <w:color w:val="0D0D0D"/>
          <w:sz w:val="28"/>
          <w:szCs w:val="28"/>
        </w:rPr>
        <w:t>Материалы и методы.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Обследовано 46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пациентов с ишемической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бол</w:t>
      </w:r>
      <w:r>
        <w:rPr>
          <w:rFonts w:ascii="Times New Roman" w:hAnsi="Times New Roman" w:cs="Times New Roman"/>
          <w:color w:val="auto"/>
          <w:sz w:val="28"/>
          <w:szCs w:val="28"/>
        </w:rPr>
        <w:t>езнью сердца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ИБС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, перенесших </w:t>
      </w:r>
      <w:r>
        <w:rPr>
          <w:rFonts w:ascii="Times New Roman" w:hAnsi="Times New Roman" w:cs="Times New Roman"/>
          <w:color w:val="auto"/>
          <w:sz w:val="28"/>
          <w:szCs w:val="28"/>
        </w:rPr>
        <w:t>инфаркт миокарда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. Средний возраст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50,8±3,2 </w:t>
      </w:r>
      <w:r>
        <w:rPr>
          <w:rFonts w:ascii="Times New Roman" w:hAnsi="Times New Roman" w:cs="Times New Roman"/>
          <w:color w:val="auto"/>
          <w:sz w:val="28"/>
          <w:szCs w:val="28"/>
        </w:rPr>
        <w:t>года;</w:t>
      </w:r>
      <w:r w:rsidRPr="009A2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мужчин – 32 (70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%), женщин – 14 (30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%). Всем больным проводились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сбор анамнеза и осмотр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общи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клинически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и биохимически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электрокардиография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. Оценка проявлений ХСН проводилась по Нью-Йоркской классификации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 теста 6-минутной ходьбы.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Пациенты были </w:t>
      </w:r>
      <w:r w:rsidRPr="00FC0AC3">
        <w:rPr>
          <w:rFonts w:ascii="Times New Roman" w:hAnsi="Times New Roman" w:cs="Times New Roman"/>
          <w:color w:val="auto"/>
          <w:sz w:val="28"/>
          <w:szCs w:val="28"/>
        </w:rPr>
        <w:t>распределен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FC0AC3">
        <w:rPr>
          <w:rFonts w:ascii="Times New Roman" w:hAnsi="Times New Roman" w:cs="Times New Roman"/>
          <w:color w:val="auto"/>
          <w:sz w:val="28"/>
          <w:szCs w:val="28"/>
        </w:rPr>
        <w:t xml:space="preserve"> в две группы: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участники</w:t>
      </w:r>
      <w:r w:rsidRPr="00FC0A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1-</w:t>
      </w:r>
      <w:r w:rsidRPr="00FC0AC3">
        <w:rPr>
          <w:rFonts w:ascii="Times New Roman" w:hAnsi="Times New Roman" w:cs="Times New Roman"/>
          <w:color w:val="auto"/>
          <w:sz w:val="28"/>
          <w:szCs w:val="28"/>
        </w:rPr>
        <w:t>й группы (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FC0AC3">
        <w:rPr>
          <w:rFonts w:ascii="Times New Roman" w:hAnsi="Times New Roman" w:cs="Times New Roman"/>
          <w:color w:val="auto"/>
          <w:sz w:val="28"/>
          <w:szCs w:val="28"/>
        </w:rPr>
        <w:t>=26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C0AC3">
        <w:rPr>
          <w:rFonts w:ascii="Times New Roman" w:hAnsi="Times New Roman" w:cs="Times New Roman"/>
          <w:color w:val="auto"/>
          <w:sz w:val="28"/>
          <w:szCs w:val="28"/>
        </w:rPr>
        <w:t xml:space="preserve"> 56,5 %), среди которых 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мужчин – 19 (73,1 %), женщин – 7 (26,9 %), наряду с базисной терапией получали </w:t>
      </w:r>
      <w:proofErr w:type="spellStart"/>
      <w:r w:rsidRPr="00E307A0">
        <w:rPr>
          <w:rFonts w:ascii="Times New Roman" w:hAnsi="Times New Roman" w:cs="Times New Roman"/>
          <w:color w:val="auto"/>
          <w:sz w:val="28"/>
          <w:szCs w:val="28"/>
        </w:rPr>
        <w:t>Тиотриазолин</w:t>
      </w:r>
      <w:proofErr w:type="spellEnd"/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 в дозе 8,0 внутривенно </w:t>
      </w:r>
      <w:proofErr w:type="spellStart"/>
      <w:r w:rsidRPr="00E307A0">
        <w:rPr>
          <w:rFonts w:ascii="Times New Roman" w:hAnsi="Times New Roman" w:cs="Times New Roman"/>
          <w:color w:val="auto"/>
          <w:sz w:val="28"/>
          <w:szCs w:val="28"/>
        </w:rPr>
        <w:t>струйно</w:t>
      </w:r>
      <w:proofErr w:type="spellEnd"/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дней; во </w:t>
      </w:r>
      <w:r>
        <w:rPr>
          <w:rFonts w:ascii="Times New Roman" w:hAnsi="Times New Roman" w:cs="Times New Roman"/>
          <w:color w:val="auto"/>
          <w:sz w:val="28"/>
          <w:szCs w:val="28"/>
        </w:rPr>
        <w:t>2-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ю, контрольную, группу (n=22; 43,5 %) вошли 14 (63,6 %) мужчин и 8 (36,4 %) женщин, которые получали стандартную терапию (β-блокаторы, ингибиторы </w:t>
      </w:r>
      <w:proofErr w:type="spellStart"/>
      <w:r w:rsidRPr="00E307A0">
        <w:rPr>
          <w:rFonts w:ascii="Times New Roman" w:hAnsi="Times New Roman" w:cs="Times New Roman"/>
          <w:color w:val="auto"/>
          <w:sz w:val="28"/>
          <w:szCs w:val="28"/>
        </w:rPr>
        <w:t>ангиотензинпревращающего</w:t>
      </w:r>
      <w:proofErr w:type="spellEnd"/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 фермента, антагонисты кальция, нитраты). Распределение по классам ХСН на момент включения в исследование наблюдалось в 1-й группе у 21 (80,7 %) пациент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: I </w:t>
      </w:r>
      <w:r>
        <w:rPr>
          <w:rFonts w:ascii="Times New Roman" w:hAnsi="Times New Roman" w:cs="Times New Roman"/>
          <w:color w:val="auto"/>
          <w:sz w:val="28"/>
          <w:szCs w:val="28"/>
        </w:rPr>
        <w:t>функциональный класс (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>ФК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 2 (9,5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%), II ФК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 11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>(52,4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%), III ФК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>(28,6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%) и IV ФК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>(9,5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 xml:space="preserve">%). Во 2-й группе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>у 17 (77,3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307A0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больных: I ФК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(17,6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%), II ФК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(35,3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%), 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ФК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(41,2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%) и 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ФК – 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(5,9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%). По </w:t>
      </w:r>
      <w:proofErr w:type="spellStart"/>
      <w:r w:rsidRPr="00A640B1">
        <w:rPr>
          <w:rFonts w:ascii="Times New Roman" w:hAnsi="Times New Roman" w:cs="Times New Roman"/>
          <w:color w:val="auto"/>
          <w:sz w:val="28"/>
          <w:szCs w:val="28"/>
        </w:rPr>
        <w:t>Миннессотскому</w:t>
      </w:r>
      <w:proofErr w:type="spellEnd"/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640B1">
        <w:rPr>
          <w:rFonts w:ascii="Times New Roman" w:hAnsi="Times New Roman" w:cs="Times New Roman"/>
          <w:color w:val="auto"/>
          <w:sz w:val="28"/>
          <w:szCs w:val="28"/>
        </w:rPr>
        <w:t>опроснику</w:t>
      </w:r>
      <w:proofErr w:type="spellEnd"/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качества жизни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в 1-й группе показател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(среднее значение в баллах) </w:t>
      </w:r>
      <w:r>
        <w:rPr>
          <w:rFonts w:ascii="Times New Roman" w:hAnsi="Times New Roman" w:cs="Times New Roman"/>
          <w:color w:val="auto"/>
          <w:sz w:val="28"/>
          <w:szCs w:val="28"/>
        </w:rPr>
        <w:t>составлял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71,1±1,8 балл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proofErr w:type="gramStart"/>
      <w:r w:rsidRPr="00A640B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Pr="00A640B1">
        <w:rPr>
          <w:rFonts w:ascii="Times New Roman" w:hAnsi="Times New Roman" w:cs="Times New Roman"/>
          <w:color w:val="auto"/>
          <w:sz w:val="28"/>
          <w:szCs w:val="28"/>
        </w:rPr>
        <w:t>&lt;0,05)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2-й группе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67,9±1,9 балла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&lt;0,05).</w:t>
      </w:r>
    </w:p>
    <w:p w:rsidR="00D616CD" w:rsidRPr="00A640B1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0B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Результаты и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их </w:t>
      </w:r>
      <w:r w:rsidRPr="00A640B1">
        <w:rPr>
          <w:rFonts w:ascii="Times New Roman" w:hAnsi="Times New Roman" w:cs="Times New Roman"/>
          <w:b/>
          <w:color w:val="0D0D0D"/>
          <w:sz w:val="28"/>
          <w:szCs w:val="28"/>
        </w:rPr>
        <w:t>обсуждени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е</w:t>
      </w:r>
      <w:r w:rsidRPr="009650DC">
        <w:rPr>
          <w:rFonts w:ascii="Times New Roman" w:hAnsi="Times New Roman" w:cs="Times New Roman"/>
          <w:b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Явным </w:t>
      </w:r>
      <w:r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тверждением улучшения качества жизни послужил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положительная гемодинамика и оценка проявлений ХСН по ФК. В группе принимающих </w:t>
      </w:r>
      <w:proofErr w:type="spellStart"/>
      <w:r w:rsidRPr="00A640B1">
        <w:rPr>
          <w:rFonts w:ascii="Times New Roman" w:hAnsi="Times New Roman" w:cs="Times New Roman"/>
          <w:color w:val="auto"/>
          <w:sz w:val="28"/>
          <w:szCs w:val="28"/>
        </w:rPr>
        <w:t>Тиотриазолин</w:t>
      </w:r>
      <w:proofErr w:type="spellEnd"/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увеличилось количество больных II ФК с 11 (42,3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%) до 14 (54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%), I ФК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с 2 (9,5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%) до 6 (23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%) по сравнению с исходными данными за счет больных из III и IV ФК. Уменьшилось количество больных III ФК до 2 (7,8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%) и IV ФК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до 1 (3,8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%), а в контрольной группе наблюдалась незначительная отрицательная динамика (III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ФК –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до 2 (9,5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%) и IV ФК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без изменений).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Показатель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жизни по Миннесотскому </w:t>
      </w:r>
      <w:proofErr w:type="spellStart"/>
      <w:r w:rsidRPr="00A640B1">
        <w:rPr>
          <w:rFonts w:ascii="Times New Roman" w:hAnsi="Times New Roman" w:cs="Times New Roman"/>
          <w:color w:val="auto"/>
          <w:sz w:val="28"/>
          <w:szCs w:val="28"/>
        </w:rPr>
        <w:t>опроснику</w:t>
      </w:r>
      <w:proofErr w:type="spellEnd"/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продемонстрировал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положительную динамику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в 1-й группе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улучш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с 71,1±1,8 до 53,3±0,6 балл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proofErr w:type="gramStart"/>
      <w:r w:rsidRPr="00A640B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Pr="00A640B1">
        <w:rPr>
          <w:rFonts w:ascii="Times New Roman" w:hAnsi="Times New Roman" w:cs="Times New Roman"/>
          <w:color w:val="auto"/>
          <w:sz w:val="28"/>
          <w:szCs w:val="28"/>
        </w:rPr>
        <w:t>&lt;0,01)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 xml:space="preserve"> 2-й группе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с 67,9±1,9 до 63,3±1,9 балл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A640B1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A640B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A640B1">
        <w:rPr>
          <w:rFonts w:ascii="Times New Roman" w:hAnsi="Times New Roman" w:cs="Times New Roman"/>
          <w:color w:val="auto"/>
          <w:sz w:val="28"/>
          <w:szCs w:val="28"/>
        </w:rPr>
        <w:t>&lt;0,05).</w:t>
      </w:r>
    </w:p>
    <w:p w:rsidR="00D616CD" w:rsidRPr="00A640B1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B1">
        <w:rPr>
          <w:rFonts w:ascii="Times New Roman" w:hAnsi="Times New Roman" w:cs="Times New Roman"/>
          <w:b/>
          <w:color w:val="0D0D0D"/>
          <w:sz w:val="28"/>
          <w:szCs w:val="28"/>
        </w:rPr>
        <w:t>Выводы.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A640B1">
        <w:rPr>
          <w:rFonts w:ascii="Times New Roman" w:hAnsi="Times New Roman" w:cs="Times New Roman"/>
          <w:sz w:val="28"/>
          <w:szCs w:val="28"/>
        </w:rPr>
        <w:t>Тиотриазолин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B1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</w:t>
      </w:r>
      <w:r w:rsidRPr="00A640B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640B1">
        <w:rPr>
          <w:rFonts w:ascii="Times New Roman" w:hAnsi="Times New Roman" w:cs="Times New Roman"/>
          <w:sz w:val="28"/>
          <w:szCs w:val="28"/>
        </w:rPr>
        <w:t>цитопротектором</w:t>
      </w:r>
      <w:proofErr w:type="spellEnd"/>
      <w:r w:rsidRPr="00A640B1">
        <w:rPr>
          <w:rFonts w:ascii="Times New Roman" w:hAnsi="Times New Roman" w:cs="Times New Roman"/>
          <w:sz w:val="28"/>
          <w:szCs w:val="28"/>
        </w:rPr>
        <w:t xml:space="preserve"> высшего класса, в частности </w:t>
      </w:r>
      <w:proofErr w:type="spellStart"/>
      <w:r w:rsidRPr="00A640B1">
        <w:rPr>
          <w:rFonts w:ascii="Times New Roman" w:hAnsi="Times New Roman" w:cs="Times New Roman"/>
          <w:sz w:val="28"/>
          <w:szCs w:val="28"/>
        </w:rPr>
        <w:t>миокардопротектором</w:t>
      </w:r>
      <w:proofErr w:type="spellEnd"/>
      <w:r w:rsidRPr="00A640B1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640B1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0B1">
        <w:rPr>
          <w:rFonts w:ascii="Times New Roman" w:hAnsi="Times New Roman" w:cs="Times New Roman"/>
          <w:sz w:val="28"/>
          <w:szCs w:val="28"/>
        </w:rPr>
        <w:t xml:space="preserve"> от 10 дней в </w:t>
      </w:r>
      <w:r w:rsidRPr="00A640B1">
        <w:rPr>
          <w:rFonts w:ascii="Times New Roman" w:hAnsi="Times New Roman" w:cs="Times New Roman"/>
          <w:sz w:val="28"/>
          <w:szCs w:val="28"/>
        </w:rPr>
        <w:lastRenderedPageBreak/>
        <w:t>стационаре и далее до 1 месяца улучшает метаболизм сердечной мышцы, стабилизируя внутриклеточные механизмы</w:t>
      </w:r>
      <w:r>
        <w:rPr>
          <w:rFonts w:ascii="Times New Roman" w:hAnsi="Times New Roman" w:cs="Times New Roman"/>
          <w:sz w:val="28"/>
          <w:szCs w:val="28"/>
        </w:rPr>
        <w:t xml:space="preserve">. Препарат </w:t>
      </w:r>
      <w:r w:rsidRPr="00A640B1">
        <w:rPr>
          <w:rFonts w:ascii="Times New Roman" w:hAnsi="Times New Roman" w:cs="Times New Roman"/>
          <w:sz w:val="28"/>
          <w:szCs w:val="28"/>
        </w:rPr>
        <w:t xml:space="preserve">показан всем </w:t>
      </w:r>
      <w:r>
        <w:rPr>
          <w:rFonts w:ascii="Times New Roman" w:hAnsi="Times New Roman" w:cs="Times New Roman"/>
          <w:sz w:val="28"/>
          <w:szCs w:val="28"/>
        </w:rPr>
        <w:t>пациентам</w:t>
      </w:r>
      <w:r w:rsidRPr="00A640B1">
        <w:rPr>
          <w:rFonts w:ascii="Times New Roman" w:hAnsi="Times New Roman" w:cs="Times New Roman"/>
          <w:sz w:val="28"/>
          <w:szCs w:val="28"/>
        </w:rPr>
        <w:t xml:space="preserve"> с ИБС, перенесшим инфаркт миокарда на ранних стадиях </w:t>
      </w:r>
      <w:r>
        <w:rPr>
          <w:rFonts w:ascii="Times New Roman" w:hAnsi="Times New Roman" w:cs="Times New Roman"/>
          <w:sz w:val="28"/>
          <w:szCs w:val="28"/>
        </w:rPr>
        <w:t>ХСН</w:t>
      </w:r>
      <w:r w:rsidRPr="00A640B1">
        <w:rPr>
          <w:rFonts w:ascii="Times New Roman" w:hAnsi="Times New Roman" w:cs="Times New Roman"/>
          <w:sz w:val="28"/>
          <w:szCs w:val="28"/>
        </w:rPr>
        <w:t>.</w:t>
      </w:r>
    </w:p>
    <w:p w:rsidR="00D616CD" w:rsidRPr="00A640B1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640B1">
        <w:rPr>
          <w:rFonts w:ascii="Times New Roman" w:hAnsi="Times New Roman" w:cs="Times New Roman"/>
          <w:b/>
          <w:color w:val="0D0D0D"/>
          <w:sz w:val="28"/>
          <w:szCs w:val="28"/>
        </w:rPr>
        <w:t>Ключевые слова:</w:t>
      </w:r>
      <w:r w:rsidRPr="00A640B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ц</w:t>
      </w:r>
      <w:r w:rsidRPr="00A640B1">
        <w:rPr>
          <w:rFonts w:ascii="Times New Roman" w:hAnsi="Times New Roman" w:cs="Times New Roman"/>
          <w:color w:val="0D0D0D"/>
          <w:sz w:val="28"/>
          <w:szCs w:val="28"/>
        </w:rPr>
        <w:t>итопротекция</w:t>
      </w:r>
      <w:proofErr w:type="spellEnd"/>
      <w:r w:rsidRPr="00A640B1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A640B1">
        <w:rPr>
          <w:rFonts w:ascii="Times New Roman" w:hAnsi="Times New Roman" w:cs="Times New Roman"/>
          <w:color w:val="0D0D0D"/>
          <w:sz w:val="28"/>
          <w:szCs w:val="28"/>
        </w:rPr>
        <w:t>миокардопротектор</w:t>
      </w:r>
      <w:proofErr w:type="spellEnd"/>
      <w:r w:rsidRPr="00A640B1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A640B1">
        <w:rPr>
          <w:rFonts w:ascii="Times New Roman" w:hAnsi="Times New Roman" w:cs="Times New Roman"/>
          <w:color w:val="0D0D0D"/>
          <w:sz w:val="28"/>
          <w:szCs w:val="28"/>
        </w:rPr>
        <w:t>Тиотриазолин</w:t>
      </w:r>
      <w:proofErr w:type="spellEnd"/>
      <w:r w:rsidRPr="00A640B1">
        <w:rPr>
          <w:rFonts w:ascii="Times New Roman" w:hAnsi="Times New Roman" w:cs="Times New Roman"/>
          <w:color w:val="0D0D0D"/>
          <w:sz w:val="28"/>
          <w:szCs w:val="28"/>
        </w:rPr>
        <w:t>, постинфарктная ишемическая болезнь, хроническая сердечная недостаточность.</w:t>
      </w:r>
    </w:p>
    <w:p w:rsidR="00D616CD" w:rsidRDefault="00D616CD" w:rsidP="00D616CD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Тезисы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Конгресса</w:t>
      </w:r>
      <w:proofErr w:type="spellEnd"/>
      <w:r>
        <w:rPr>
          <w:i/>
          <w:color w:val="000000"/>
          <w:sz w:val="28"/>
          <w:szCs w:val="28"/>
        </w:rPr>
        <w:t xml:space="preserve"> по </w:t>
      </w:r>
      <w:proofErr w:type="spellStart"/>
      <w:r>
        <w:rPr>
          <w:i/>
          <w:color w:val="000000"/>
          <w:sz w:val="28"/>
          <w:szCs w:val="28"/>
        </w:rPr>
        <w:t>инфузионной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терапии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опубликованы</w:t>
      </w:r>
      <w:proofErr w:type="spellEnd"/>
      <w:r>
        <w:rPr>
          <w:i/>
          <w:color w:val="000000"/>
          <w:sz w:val="28"/>
          <w:szCs w:val="28"/>
        </w:rPr>
        <w:t xml:space="preserve"> в </w:t>
      </w:r>
      <w:proofErr w:type="spellStart"/>
      <w:r>
        <w:rPr>
          <w:i/>
          <w:color w:val="000000"/>
          <w:sz w:val="28"/>
          <w:szCs w:val="28"/>
        </w:rPr>
        <w:t>журнале</w:t>
      </w:r>
      <w:proofErr w:type="spellEnd"/>
      <w:r>
        <w:rPr>
          <w:i/>
          <w:color w:val="000000"/>
          <w:sz w:val="28"/>
          <w:szCs w:val="28"/>
        </w:rPr>
        <w:t xml:space="preserve"> «</w:t>
      </w:r>
      <w:proofErr w:type="spellStart"/>
      <w:r>
        <w:fldChar w:fldCharType="begin"/>
      </w:r>
      <w:r>
        <w:instrText xml:space="preserve"> HYPERLINK "https://infusion-chemotherapy.com/index.php/journal/issue/view/5"</w:instrText>
      </w:r>
      <w:r>
        <w:fldChar w:fldCharType="separate"/>
      </w:r>
      <w:r>
        <w:rPr>
          <w:rStyle w:val="a4"/>
          <w:i/>
          <w:sz w:val="28"/>
          <w:szCs w:val="28"/>
        </w:rPr>
        <w:t>Инфузия</w:t>
      </w:r>
      <w:proofErr w:type="spellEnd"/>
      <w:r>
        <w:rPr>
          <w:rStyle w:val="a4"/>
          <w:i/>
          <w:sz w:val="28"/>
          <w:szCs w:val="28"/>
        </w:rPr>
        <w:t xml:space="preserve"> &amp; </w:t>
      </w:r>
      <w:proofErr w:type="spellStart"/>
      <w:r>
        <w:rPr>
          <w:rStyle w:val="a4"/>
          <w:i/>
          <w:sz w:val="28"/>
          <w:szCs w:val="28"/>
        </w:rPr>
        <w:t>Химиотерапия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D616CD" w:rsidRPr="00D616CD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16CD" w:rsidRPr="00E86C25" w:rsidRDefault="00D616CD" w:rsidP="00D616CD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32"/>
          <w:szCs w:val="28"/>
          <w:lang w:val="en-US"/>
        </w:rPr>
      </w:pPr>
      <w:r w:rsidRPr="00E86C25">
        <w:rPr>
          <w:rFonts w:ascii="Times New Roman" w:hAnsi="Times New Roman" w:cs="Times New Roman"/>
          <w:b/>
          <w:color w:val="auto"/>
          <w:sz w:val="32"/>
          <w:szCs w:val="28"/>
          <w:lang w:val="en-US"/>
        </w:rPr>
        <w:t xml:space="preserve">The influence of </w:t>
      </w:r>
      <w:proofErr w:type="spellStart"/>
      <w:r w:rsidRPr="00E86C25">
        <w:rPr>
          <w:rFonts w:ascii="Times New Roman" w:hAnsi="Times New Roman" w:cs="Times New Roman"/>
          <w:b/>
          <w:color w:val="auto"/>
          <w:sz w:val="32"/>
          <w:szCs w:val="28"/>
          <w:lang w:val="en-US"/>
        </w:rPr>
        <w:t>myocardoprotection</w:t>
      </w:r>
      <w:proofErr w:type="spellEnd"/>
      <w:r w:rsidRPr="00E86C25">
        <w:rPr>
          <w:rFonts w:ascii="Times New Roman" w:hAnsi="Times New Roman" w:cs="Times New Roman"/>
          <w:b/>
          <w:color w:val="auto"/>
          <w:sz w:val="32"/>
          <w:szCs w:val="28"/>
          <w:lang w:val="en-US"/>
        </w:rPr>
        <w:t xml:space="preserve"> on the course of </w:t>
      </w:r>
      <w:proofErr w:type="spellStart"/>
      <w:r w:rsidRPr="00E86C25">
        <w:rPr>
          <w:rFonts w:ascii="Times New Roman" w:hAnsi="Times New Roman" w:cs="Times New Roman"/>
          <w:b/>
          <w:color w:val="auto"/>
          <w:sz w:val="32"/>
          <w:szCs w:val="28"/>
          <w:lang w:val="en-US"/>
        </w:rPr>
        <w:t>postinfarction</w:t>
      </w:r>
      <w:proofErr w:type="spellEnd"/>
      <w:r w:rsidRPr="00E86C25">
        <w:rPr>
          <w:rFonts w:ascii="Times New Roman" w:hAnsi="Times New Roman" w:cs="Times New Roman"/>
          <w:b/>
          <w:color w:val="auto"/>
          <w:sz w:val="32"/>
          <w:szCs w:val="28"/>
          <w:lang w:val="en-US"/>
        </w:rPr>
        <w:t xml:space="preserve"> chronic heart failure</w:t>
      </w:r>
    </w:p>
    <w:p w:rsidR="00D616CD" w:rsidRPr="00E86C25" w:rsidRDefault="00D616CD" w:rsidP="00D616CD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proofErr w:type="spellStart"/>
      <w:r w:rsidRPr="00E86C25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Ruzieva</w:t>
      </w:r>
      <w:proofErr w:type="spellEnd"/>
      <w:r w:rsidRPr="00E86C25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A.A.</w:t>
      </w:r>
    </w:p>
    <w:p w:rsidR="00D616CD" w:rsidRPr="00E86C25" w:rsidRDefault="00D616CD" w:rsidP="00D616CD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E86C25">
        <w:rPr>
          <w:rFonts w:ascii="Times New Roman" w:hAnsi="Times New Roman" w:cs="Times New Roman"/>
          <w:color w:val="auto"/>
          <w:sz w:val="26"/>
          <w:szCs w:val="26"/>
          <w:lang w:val="en-US"/>
        </w:rPr>
        <w:t>Samarkand State Medical Institute, Samarkand, Uzbekistan</w:t>
      </w:r>
    </w:p>
    <w:p w:rsidR="00D616CD" w:rsidRPr="00C95026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C9502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Objective.</w:t>
      </w:r>
      <w:proofErr w:type="gram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To study the effect of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Thiotriazoline</w:t>
      </w:r>
      <w:proofErr w:type="spell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 patients with post-infarction chronic heart failure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(CHF)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</w:p>
    <w:p w:rsidR="00D616CD" w:rsidRPr="00C95026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C9502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Materials and methods.</w:t>
      </w:r>
      <w:proofErr w:type="gram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We examined 46 patients with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ischemic heart disease (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IHD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who had undergone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myocardial infarction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. The average age was 50.8±3.2 years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;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men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32 (70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%), women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14 (30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%). All patients were examined in the form of anamnesis and examination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general clinical and biochemical studies,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electrocardiography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The assessment of CHF manifestations in patients of both groups was carried out according to the New York classification based on the results of the 6-minute walk test. The distribution into two groups was carried out according to the following parameters: the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st group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included 26 (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56.5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) patients (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men – 19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73.1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]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, women – 7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[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26.9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%]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who, along with basic therapy, received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Thiotriazoline</w:t>
      </w:r>
      <w:proofErr w:type="spell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at a dose of 8.0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intravenously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jet for 10 days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nd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(control)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group included 22 (43.5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 patients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men – 14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[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63.6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]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women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8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36.4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%]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who received standard therapy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β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-blockers,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angiotensin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-converting enzyme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inhibitors, calcium antagonists, nitrates).</w:t>
      </w:r>
      <w:r w:rsidRPr="00C95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Distribution by class of CHF at the time of inclusion in the study was observed in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1st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group in 21 (80.7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%) patients: 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functional class (FC) –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2 (9.5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II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FC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(52.4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III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FC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6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(28.6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 and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IV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FC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(9.5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%). In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2nd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group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(77.3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 patients: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FC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(17.6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II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FC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6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(35.3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%), III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7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(41.2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%) and IV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 –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1 (5.9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%) patients. According to the Minnesota questionnaire in group 1, the quality of life indicators (average value in points) were 71.1±1.8 points (p&lt;0.05). The 2nd group had 67.9±1.9 points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(p&lt;0.05).</w:t>
      </w:r>
    </w:p>
    <w:p w:rsidR="00D616CD" w:rsidRPr="00C95026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C9502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Results and discussion.</w:t>
      </w:r>
      <w:proofErr w:type="gram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Positive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hemodynamics</w:t>
      </w:r>
      <w:proofErr w:type="spell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assessment of CHF manifestations by FC served as a clear statement of improvement in the quality of life. In the group receiving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Thiotriazoline</w:t>
      </w:r>
      <w:proofErr w:type="spell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the number of patients with II FC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increased from 11 (42.3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%) to 14 (54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%), I FC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from 2 (9.5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%) to 6 (23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%) compared to the initial data due to patients from III FC and IV FC. The number of patients with III FC decreased to 2 (7.8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 and IV FC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to 1 (3.8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%), and in the control group there was a slight negative dynamic (III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FC –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to 2 (9.5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%) and IV FC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–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without changes). The quality of life according to the Minnesota questionnaire indicated a positive trend. In group 1, the quality of life indicators improved from 71.1±1.8 to 53.3±0.6 points (p&lt;0.01)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 group 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from 67.9±1.9 to 63.3±1.9 points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(p&lt;0.05).</w:t>
      </w:r>
    </w:p>
    <w:p w:rsidR="00D616CD" w:rsidRPr="00C95026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C9502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Conclusions.</w:t>
      </w:r>
      <w:proofErr w:type="gram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Thiotriazoline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is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cytoprotector</w:t>
      </w:r>
      <w:proofErr w:type="spell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of the highest class, in particular, a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myocardoprotector</w:t>
      </w:r>
      <w:proofErr w:type="spell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, which, when used (from 10 days in a hospital and then up to 1 month), improves the metabolism of the heart muscle, stabilizing intracellular mechanisms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Thiotriazoline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is indicated for all patients with IHD who have suffered a myocardial infarction in the early stages of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CHF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D616CD" w:rsidRPr="00C95026" w:rsidRDefault="00D616CD" w:rsidP="00D616C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502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Key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C9502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</w:t>
      </w:r>
      <w:r w:rsidRPr="00C9502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:</w:t>
      </w:r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cytoprotection</w:t>
      </w:r>
      <w:proofErr w:type="spell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myocardoprotector</w:t>
      </w:r>
      <w:proofErr w:type="spell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Thiotriazoline</w:t>
      </w:r>
      <w:proofErr w:type="spellEnd"/>
      <w:r w:rsidRPr="00C95026">
        <w:rPr>
          <w:rFonts w:ascii="Times New Roman" w:hAnsi="Times New Roman" w:cs="Times New Roman"/>
          <w:color w:val="auto"/>
          <w:sz w:val="28"/>
          <w:szCs w:val="28"/>
          <w:lang w:val="en-US"/>
        </w:rPr>
        <w:t>, post-infarction ischemic disease, chronic heart failure.</w:t>
      </w:r>
    </w:p>
    <w:p w:rsidR="00D616CD" w:rsidRDefault="00D616CD" w:rsidP="00D616CD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Infusion</w:t>
      </w:r>
      <w:proofErr w:type="spellEnd"/>
      <w:r>
        <w:rPr>
          <w:rStyle w:val="a4"/>
          <w:i/>
          <w:sz w:val="28"/>
          <w:szCs w:val="28"/>
        </w:rPr>
        <w:t xml:space="preserve"> &amp; </w:t>
      </w:r>
      <w:proofErr w:type="spellStart"/>
      <w:r>
        <w:rPr>
          <w:rStyle w:val="a4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D616CD" w:rsidRDefault="00A06D1C"/>
    <w:sectPr w:rsidR="00A06D1C" w:rsidRPr="00D616CD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opia Std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6CD"/>
    <w:rsid w:val="00A06D1C"/>
    <w:rsid w:val="00D6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CD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16CD"/>
    <w:pPr>
      <w:spacing w:before="100" w:beforeAutospacing="1" w:after="100" w:afterAutospacing="1" w:line="240" w:lineRule="auto"/>
      <w:ind w:firstLine="0"/>
    </w:pPr>
    <w:rPr>
      <w:szCs w:val="24"/>
      <w:lang w:val="ru-RU"/>
    </w:rPr>
  </w:style>
  <w:style w:type="paragraph" w:customStyle="1" w:styleId="Default">
    <w:name w:val="Default"/>
    <w:uiPriority w:val="99"/>
    <w:rsid w:val="00D616CD"/>
    <w:pPr>
      <w:autoSpaceDE w:val="0"/>
      <w:autoSpaceDN w:val="0"/>
      <w:adjustRightInd w:val="0"/>
      <w:spacing w:after="0" w:line="240" w:lineRule="auto"/>
    </w:pPr>
    <w:rPr>
      <w:rFonts w:ascii="Utopia Std Semibold" w:eastAsia="Times New Roman" w:hAnsi="Utopia Std Semibold" w:cs="Utopia Std Semibold"/>
      <w:color w:val="000000"/>
      <w:sz w:val="24"/>
      <w:szCs w:val="24"/>
      <w:lang w:val="ru-RU" w:eastAsia="ru-RU"/>
    </w:rPr>
  </w:style>
  <w:style w:type="character" w:styleId="a4">
    <w:name w:val="Hyperlink"/>
    <w:basedOn w:val="a0"/>
    <w:rsid w:val="00D616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4070</Words>
  <Characters>2321</Characters>
  <Application>Microsoft Office Word</Application>
  <DocSecurity>0</DocSecurity>
  <Lines>19</Lines>
  <Paragraphs>12</Paragraphs>
  <ScaleCrop>false</ScaleCrop>
  <Company>diakov.net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2020-11-09T20:57:00Z</dcterms:created>
  <dcterms:modified xsi:type="dcterms:W3CDTF">2020-11-09T20:58:00Z</dcterms:modified>
</cp:coreProperties>
</file>