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7E" w:rsidRPr="00E86C25" w:rsidRDefault="00F3287E" w:rsidP="00F3287E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 xml:space="preserve">Особливості застосування </w:t>
      </w:r>
      <w:proofErr w:type="spellStart"/>
      <w:r w:rsidRPr="00E86C25">
        <w:rPr>
          <w:b/>
          <w:sz w:val="32"/>
          <w:szCs w:val="28"/>
        </w:rPr>
        <w:t>інфузійної</w:t>
      </w:r>
      <w:proofErr w:type="spellEnd"/>
      <w:r w:rsidRPr="00E86C25">
        <w:rPr>
          <w:b/>
          <w:sz w:val="32"/>
          <w:szCs w:val="28"/>
        </w:rPr>
        <w:t xml:space="preserve"> хіміотерапії препаратами першого ряду у хворих на туберкульозний менінгіт і ВІЛ</w:t>
      </w:r>
    </w:p>
    <w:p w:rsidR="00F3287E" w:rsidRPr="00E86C25" w:rsidRDefault="00F3287E" w:rsidP="00F3287E">
      <w:pPr>
        <w:spacing w:after="120" w:line="276" w:lineRule="auto"/>
        <w:ind w:firstLine="0"/>
        <w:jc w:val="both"/>
        <w:rPr>
          <w:b/>
          <w:sz w:val="26"/>
          <w:szCs w:val="26"/>
        </w:rPr>
      </w:pPr>
      <w:proofErr w:type="spellStart"/>
      <w:r w:rsidRPr="00E86C25">
        <w:rPr>
          <w:b/>
          <w:sz w:val="26"/>
          <w:szCs w:val="26"/>
        </w:rPr>
        <w:t>Бутов</w:t>
      </w:r>
      <w:proofErr w:type="spellEnd"/>
      <w:r w:rsidRPr="00E86C25">
        <w:rPr>
          <w:b/>
          <w:sz w:val="26"/>
          <w:szCs w:val="26"/>
        </w:rPr>
        <w:t xml:space="preserve"> Д.О.</w:t>
      </w:r>
      <w:r w:rsidRPr="00E86C25">
        <w:rPr>
          <w:b/>
          <w:sz w:val="26"/>
          <w:szCs w:val="26"/>
          <w:vertAlign w:val="superscript"/>
        </w:rPr>
        <w:t>1</w:t>
      </w:r>
      <w:r w:rsidRPr="00E86C25">
        <w:rPr>
          <w:b/>
          <w:sz w:val="26"/>
          <w:szCs w:val="26"/>
        </w:rPr>
        <w:t xml:space="preserve">, </w:t>
      </w:r>
      <w:proofErr w:type="spellStart"/>
      <w:r w:rsidRPr="00E86C25">
        <w:rPr>
          <w:b/>
          <w:sz w:val="26"/>
          <w:szCs w:val="26"/>
        </w:rPr>
        <w:t>Кужко</w:t>
      </w:r>
      <w:proofErr w:type="spellEnd"/>
      <w:r w:rsidRPr="00E86C25">
        <w:rPr>
          <w:b/>
          <w:sz w:val="26"/>
          <w:szCs w:val="26"/>
        </w:rPr>
        <w:t xml:space="preserve"> М.М.</w:t>
      </w:r>
      <w:r w:rsidRPr="00E86C25">
        <w:rPr>
          <w:b/>
          <w:sz w:val="26"/>
          <w:szCs w:val="26"/>
          <w:vertAlign w:val="superscript"/>
        </w:rPr>
        <w:t>2</w:t>
      </w:r>
      <w:r w:rsidRPr="00E86C25">
        <w:rPr>
          <w:b/>
          <w:sz w:val="26"/>
          <w:szCs w:val="26"/>
        </w:rPr>
        <w:t>, Гуменюк М.І.</w:t>
      </w:r>
      <w:r w:rsidRPr="00E86C25">
        <w:rPr>
          <w:b/>
          <w:sz w:val="26"/>
          <w:szCs w:val="26"/>
          <w:vertAlign w:val="superscript"/>
        </w:rPr>
        <w:t>2</w:t>
      </w:r>
      <w:r w:rsidRPr="00E86C25">
        <w:rPr>
          <w:b/>
          <w:sz w:val="26"/>
          <w:szCs w:val="26"/>
        </w:rPr>
        <w:t>, Бутова Т.С.</w:t>
      </w:r>
      <w:r w:rsidRPr="00E86C25">
        <w:rPr>
          <w:b/>
          <w:sz w:val="26"/>
          <w:szCs w:val="26"/>
          <w:vertAlign w:val="superscript"/>
        </w:rPr>
        <w:t>3</w:t>
      </w:r>
    </w:p>
    <w:p w:rsidR="00F3287E" w:rsidRPr="00E86C25" w:rsidRDefault="00F3287E" w:rsidP="00F3287E">
      <w:pPr>
        <w:spacing w:after="120" w:line="276" w:lineRule="auto"/>
        <w:ind w:firstLine="0"/>
        <w:jc w:val="both"/>
        <w:rPr>
          <w:sz w:val="26"/>
          <w:szCs w:val="26"/>
        </w:rPr>
      </w:pPr>
      <w:r w:rsidRPr="00E86C25">
        <w:rPr>
          <w:sz w:val="26"/>
          <w:szCs w:val="26"/>
          <w:vertAlign w:val="superscript"/>
        </w:rPr>
        <w:t>1</w:t>
      </w:r>
      <w:r w:rsidRPr="00E86C25">
        <w:rPr>
          <w:sz w:val="26"/>
          <w:szCs w:val="26"/>
        </w:rPr>
        <w:t xml:space="preserve"> Харківський національний медичний університет, м. Харків, Україна</w:t>
      </w:r>
    </w:p>
    <w:p w:rsidR="00F3287E" w:rsidRPr="00E86C25" w:rsidRDefault="00F3287E" w:rsidP="00F3287E">
      <w:pPr>
        <w:spacing w:after="120" w:line="276" w:lineRule="auto"/>
        <w:ind w:firstLine="0"/>
        <w:jc w:val="both"/>
        <w:rPr>
          <w:sz w:val="26"/>
          <w:szCs w:val="26"/>
        </w:rPr>
      </w:pPr>
      <w:r w:rsidRPr="00E86C25">
        <w:rPr>
          <w:sz w:val="26"/>
          <w:szCs w:val="26"/>
          <w:vertAlign w:val="superscript"/>
        </w:rPr>
        <w:t>2</w:t>
      </w:r>
      <w:r w:rsidRPr="00E86C25">
        <w:rPr>
          <w:sz w:val="26"/>
          <w:szCs w:val="26"/>
        </w:rPr>
        <w:t xml:space="preserve"> ДУ «Національний інститут фтизіатрії і пульмонології ім. Ф.Г. Яновського НАМН України», м. Київ, Україна</w:t>
      </w:r>
    </w:p>
    <w:p w:rsidR="00F3287E" w:rsidRPr="00E86C25" w:rsidRDefault="00F3287E" w:rsidP="00F3287E">
      <w:pPr>
        <w:spacing w:after="120" w:line="276" w:lineRule="auto"/>
        <w:ind w:firstLine="0"/>
        <w:jc w:val="both"/>
        <w:rPr>
          <w:sz w:val="26"/>
          <w:szCs w:val="26"/>
        </w:rPr>
      </w:pPr>
      <w:r w:rsidRPr="00E86C25">
        <w:rPr>
          <w:sz w:val="26"/>
          <w:szCs w:val="26"/>
          <w:vertAlign w:val="superscript"/>
        </w:rPr>
        <w:t>3</w:t>
      </w:r>
      <w:r w:rsidRPr="00E86C25">
        <w:rPr>
          <w:sz w:val="26"/>
          <w:szCs w:val="26"/>
        </w:rPr>
        <w:t xml:space="preserve"> Харківський національний університет ім. В.Н. </w:t>
      </w:r>
      <w:proofErr w:type="spellStart"/>
      <w:r w:rsidRPr="00E86C25">
        <w:rPr>
          <w:sz w:val="26"/>
          <w:szCs w:val="26"/>
        </w:rPr>
        <w:t>Каразіна</w:t>
      </w:r>
      <w:proofErr w:type="spellEnd"/>
      <w:r w:rsidRPr="00E86C25">
        <w:rPr>
          <w:sz w:val="26"/>
          <w:szCs w:val="26"/>
        </w:rPr>
        <w:t>, м. Харків, Україна</w:t>
      </w:r>
    </w:p>
    <w:p w:rsidR="00F3287E" w:rsidRPr="00C95026" w:rsidRDefault="00F3287E" w:rsidP="00F3287E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>Мет</w:t>
      </w:r>
      <w:r>
        <w:rPr>
          <w:b/>
          <w:sz w:val="28"/>
          <w:szCs w:val="28"/>
        </w:rPr>
        <w:t>а.</w:t>
      </w:r>
      <w:r w:rsidRPr="00C95026">
        <w:rPr>
          <w:sz w:val="28"/>
          <w:szCs w:val="28"/>
        </w:rPr>
        <w:t xml:space="preserve"> Дослідити ефективн</w:t>
      </w:r>
      <w:r>
        <w:rPr>
          <w:sz w:val="28"/>
          <w:szCs w:val="28"/>
        </w:rPr>
        <w:t>і</w:t>
      </w:r>
      <w:r w:rsidRPr="00C95026">
        <w:rPr>
          <w:sz w:val="28"/>
          <w:szCs w:val="28"/>
        </w:rPr>
        <w:t>ст</w:t>
      </w:r>
      <w:r>
        <w:rPr>
          <w:sz w:val="28"/>
          <w:szCs w:val="28"/>
        </w:rPr>
        <w:t>ь</w:t>
      </w:r>
      <w:r w:rsidRPr="00C95026">
        <w:rPr>
          <w:sz w:val="28"/>
          <w:szCs w:val="28"/>
        </w:rPr>
        <w:t xml:space="preserve"> застосування</w:t>
      </w:r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>внутрішньовенних препаратів першого ряду (</w:t>
      </w:r>
      <w:proofErr w:type="spellStart"/>
      <w:r w:rsidRPr="00C95026">
        <w:rPr>
          <w:sz w:val="28"/>
          <w:szCs w:val="28"/>
        </w:rPr>
        <w:t>ізоніазид</w:t>
      </w:r>
      <w:proofErr w:type="spellEnd"/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C95026"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етамбутол</w:t>
      </w:r>
      <w:proofErr w:type="spellEnd"/>
      <w:r w:rsidRPr="00C95026">
        <w:rPr>
          <w:sz w:val="28"/>
          <w:szCs w:val="28"/>
        </w:rPr>
        <w:t>) у хворих на туберкульозний менінгіт і ВІЛ під час інтенсивної фази хіміотерапії.</w:t>
      </w:r>
    </w:p>
    <w:p w:rsidR="00F3287E" w:rsidRPr="00C95026" w:rsidRDefault="00F3287E" w:rsidP="00F3287E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 xml:space="preserve">Матеріали </w:t>
      </w:r>
      <w:r>
        <w:rPr>
          <w:b/>
          <w:sz w:val="28"/>
          <w:szCs w:val="28"/>
        </w:rPr>
        <w:t>та</w:t>
      </w:r>
      <w:r w:rsidRPr="00C95026">
        <w:rPr>
          <w:b/>
          <w:sz w:val="28"/>
          <w:szCs w:val="28"/>
        </w:rPr>
        <w:t xml:space="preserve"> методи.</w:t>
      </w:r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У дослідження були включені 54</w:t>
      </w:r>
      <w:r w:rsidRPr="00C95026">
        <w:rPr>
          <w:sz w:val="28"/>
          <w:szCs w:val="28"/>
        </w:rPr>
        <w:t xml:space="preserve"> пацієнти з </w:t>
      </w:r>
      <w:r>
        <w:rPr>
          <w:sz w:val="28"/>
          <w:szCs w:val="28"/>
        </w:rPr>
        <w:t>у</w:t>
      </w:r>
      <w:r w:rsidRPr="00C95026">
        <w:rPr>
          <w:sz w:val="28"/>
          <w:szCs w:val="28"/>
        </w:rPr>
        <w:t xml:space="preserve">перше </w:t>
      </w:r>
      <w:proofErr w:type="spellStart"/>
      <w:r w:rsidRPr="00C95026">
        <w:rPr>
          <w:sz w:val="28"/>
          <w:szCs w:val="28"/>
        </w:rPr>
        <w:t>діагностованим</w:t>
      </w:r>
      <w:proofErr w:type="spellEnd"/>
      <w:r w:rsidRPr="00C95026">
        <w:rPr>
          <w:sz w:val="28"/>
          <w:szCs w:val="28"/>
        </w:rPr>
        <w:t xml:space="preserve"> інфільтративним туберкульозом легень, туберкульозним менінгітом </w:t>
      </w:r>
      <w:r>
        <w:rPr>
          <w:sz w:val="28"/>
          <w:szCs w:val="28"/>
        </w:rPr>
        <w:t>і</w:t>
      </w:r>
      <w:r w:rsidRPr="00C95026">
        <w:rPr>
          <w:sz w:val="28"/>
          <w:szCs w:val="28"/>
        </w:rPr>
        <w:t xml:space="preserve"> ВІЛ-інфекцією. У всіх </w:t>
      </w:r>
      <w:r>
        <w:rPr>
          <w:sz w:val="28"/>
          <w:szCs w:val="28"/>
        </w:rPr>
        <w:t>хворих виявлено</w:t>
      </w:r>
      <w:r w:rsidRPr="00C95026">
        <w:rPr>
          <w:sz w:val="28"/>
          <w:szCs w:val="28"/>
        </w:rPr>
        <w:t xml:space="preserve"> </w:t>
      </w:r>
      <w:proofErr w:type="spellStart"/>
      <w:r w:rsidRPr="00E86C25">
        <w:rPr>
          <w:i/>
          <w:sz w:val="28"/>
          <w:szCs w:val="28"/>
        </w:rPr>
        <w:t>Mycobacterium</w:t>
      </w:r>
      <w:proofErr w:type="spellEnd"/>
      <w:r w:rsidRPr="00E86C25">
        <w:rPr>
          <w:i/>
          <w:sz w:val="28"/>
          <w:szCs w:val="28"/>
        </w:rPr>
        <w:t xml:space="preserve"> </w:t>
      </w:r>
      <w:proofErr w:type="spellStart"/>
      <w:r w:rsidRPr="00E86C25">
        <w:rPr>
          <w:i/>
          <w:sz w:val="28"/>
          <w:szCs w:val="28"/>
        </w:rPr>
        <w:t>tuberculosis</w:t>
      </w:r>
      <w:proofErr w:type="spellEnd"/>
      <w:r w:rsidRPr="00C95026">
        <w:rPr>
          <w:sz w:val="28"/>
          <w:szCs w:val="28"/>
        </w:rPr>
        <w:t xml:space="preserve"> у харкотинні. Група 1 складалася з 23 пацієнтів, які отримували </w:t>
      </w:r>
      <w:proofErr w:type="spellStart"/>
      <w:r w:rsidRPr="00C95026">
        <w:rPr>
          <w:sz w:val="28"/>
          <w:szCs w:val="28"/>
        </w:rPr>
        <w:t>етамбутол</w:t>
      </w:r>
      <w:proofErr w:type="spellEnd"/>
      <w:r w:rsidRPr="00C95026">
        <w:rPr>
          <w:sz w:val="28"/>
          <w:szCs w:val="28"/>
        </w:rPr>
        <w:t xml:space="preserve"> та </w:t>
      </w:r>
      <w:proofErr w:type="spellStart"/>
      <w:r w:rsidRPr="00C95026">
        <w:rPr>
          <w:sz w:val="28"/>
          <w:szCs w:val="28"/>
        </w:rPr>
        <w:t>ізоніазид</w:t>
      </w:r>
      <w:proofErr w:type="spellEnd"/>
      <w:r w:rsidRPr="00C95026"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внутрішньовенно</w:t>
      </w:r>
      <w:proofErr w:type="spellEnd"/>
      <w:r w:rsidRPr="00C95026">
        <w:rPr>
          <w:sz w:val="28"/>
          <w:szCs w:val="28"/>
        </w:rPr>
        <w:t xml:space="preserve">, а </w:t>
      </w:r>
      <w:proofErr w:type="spellStart"/>
      <w:r w:rsidRPr="00C95026">
        <w:rPr>
          <w:sz w:val="28"/>
          <w:szCs w:val="28"/>
        </w:rPr>
        <w:t>рифампіцин</w:t>
      </w:r>
      <w:proofErr w:type="spellEnd"/>
      <w:r w:rsidRPr="00C95026">
        <w:rPr>
          <w:sz w:val="28"/>
          <w:szCs w:val="28"/>
        </w:rPr>
        <w:t xml:space="preserve"> та </w:t>
      </w:r>
      <w:proofErr w:type="spellStart"/>
      <w:r w:rsidRPr="00C95026">
        <w:rPr>
          <w:sz w:val="28"/>
          <w:szCs w:val="28"/>
        </w:rPr>
        <w:t>піразинамід</w:t>
      </w:r>
      <w:proofErr w:type="spellEnd"/>
      <w:r w:rsidRPr="00C95026">
        <w:rPr>
          <w:sz w:val="28"/>
          <w:szCs w:val="28"/>
        </w:rPr>
        <w:t xml:space="preserve"> призначали </w:t>
      </w:r>
      <w:proofErr w:type="spellStart"/>
      <w:r w:rsidRPr="00C95026">
        <w:rPr>
          <w:sz w:val="28"/>
          <w:szCs w:val="28"/>
        </w:rPr>
        <w:t>перорально</w:t>
      </w:r>
      <w:proofErr w:type="spellEnd"/>
      <w:r w:rsidRPr="00C95026">
        <w:rPr>
          <w:sz w:val="28"/>
          <w:szCs w:val="28"/>
        </w:rPr>
        <w:t xml:space="preserve">. Група 2 складалася з 31 пацієнта, </w:t>
      </w:r>
      <w:r>
        <w:rPr>
          <w:sz w:val="28"/>
          <w:szCs w:val="28"/>
        </w:rPr>
        <w:t>котрі</w:t>
      </w:r>
      <w:r w:rsidRPr="00C95026">
        <w:rPr>
          <w:sz w:val="28"/>
          <w:szCs w:val="28"/>
        </w:rPr>
        <w:t xml:space="preserve"> лікува</w:t>
      </w:r>
      <w:r>
        <w:rPr>
          <w:sz w:val="28"/>
          <w:szCs w:val="28"/>
        </w:rPr>
        <w:t>ли</w:t>
      </w:r>
      <w:r w:rsidRPr="00C95026">
        <w:rPr>
          <w:sz w:val="28"/>
          <w:szCs w:val="28"/>
        </w:rPr>
        <w:t xml:space="preserve">ся протитуберкульозними препаратами першої лінії </w:t>
      </w:r>
      <w:proofErr w:type="spellStart"/>
      <w:r w:rsidRPr="00C95026">
        <w:rPr>
          <w:sz w:val="28"/>
          <w:szCs w:val="28"/>
        </w:rPr>
        <w:t>перорально</w:t>
      </w:r>
      <w:proofErr w:type="spellEnd"/>
      <w:r w:rsidRPr="00C95026">
        <w:rPr>
          <w:sz w:val="28"/>
          <w:szCs w:val="28"/>
        </w:rPr>
        <w:t xml:space="preserve">. Концентрації </w:t>
      </w:r>
      <w:proofErr w:type="spellStart"/>
      <w:r w:rsidRPr="00C95026">
        <w:rPr>
          <w:sz w:val="28"/>
          <w:szCs w:val="28"/>
        </w:rPr>
        <w:t>ізоніазиду</w:t>
      </w:r>
      <w:proofErr w:type="spellEnd"/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Pr="00C95026">
        <w:rPr>
          <w:sz w:val="28"/>
          <w:szCs w:val="28"/>
        </w:rPr>
        <w:t xml:space="preserve"> </w:t>
      </w:r>
      <w:proofErr w:type="spellStart"/>
      <w:r w:rsidRPr="00C95026">
        <w:rPr>
          <w:sz w:val="28"/>
          <w:szCs w:val="28"/>
        </w:rPr>
        <w:t>етамбутолу</w:t>
      </w:r>
      <w:proofErr w:type="spellEnd"/>
      <w:r w:rsidRPr="00C95026">
        <w:rPr>
          <w:sz w:val="28"/>
          <w:szCs w:val="28"/>
        </w:rPr>
        <w:t xml:space="preserve"> в сироватці крові визначали хроматографічним методом.</w:t>
      </w:r>
    </w:p>
    <w:p w:rsidR="00F3287E" w:rsidRPr="00C95026" w:rsidRDefault="00F3287E" w:rsidP="00F3287E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>Результати.</w:t>
      </w:r>
      <w:r w:rsidRPr="00C95026">
        <w:rPr>
          <w:sz w:val="28"/>
          <w:szCs w:val="28"/>
        </w:rPr>
        <w:t xml:space="preserve"> Спостерігалося значн</w:t>
      </w:r>
      <w:r>
        <w:rPr>
          <w:sz w:val="28"/>
          <w:szCs w:val="28"/>
        </w:rPr>
        <w:t>іш</w:t>
      </w:r>
      <w:r w:rsidRPr="00C95026">
        <w:rPr>
          <w:sz w:val="28"/>
          <w:szCs w:val="28"/>
        </w:rPr>
        <w:t xml:space="preserve">е поліпшення клінічної симптоматики </w:t>
      </w:r>
      <w:r>
        <w:rPr>
          <w:sz w:val="28"/>
          <w:szCs w:val="28"/>
        </w:rPr>
        <w:t>та</w:t>
      </w:r>
      <w:r w:rsidRPr="00C95026">
        <w:rPr>
          <w:sz w:val="28"/>
          <w:szCs w:val="28"/>
        </w:rPr>
        <w:t xml:space="preserve"> рентгенологічних ознак у пацієнтів, які </w:t>
      </w:r>
      <w:proofErr w:type="spellStart"/>
      <w:r w:rsidRPr="00C95026">
        <w:rPr>
          <w:sz w:val="28"/>
          <w:szCs w:val="28"/>
        </w:rPr>
        <w:t>внутрішньовенно</w:t>
      </w:r>
      <w:proofErr w:type="spellEnd"/>
      <w:r w:rsidRPr="00C95026">
        <w:rPr>
          <w:sz w:val="28"/>
          <w:szCs w:val="28"/>
        </w:rPr>
        <w:t xml:space="preserve"> приймали </w:t>
      </w:r>
      <w:proofErr w:type="spellStart"/>
      <w:r w:rsidRPr="00C95026">
        <w:rPr>
          <w:sz w:val="28"/>
          <w:szCs w:val="28"/>
        </w:rPr>
        <w:t>ізоніазид</w:t>
      </w:r>
      <w:proofErr w:type="spellEnd"/>
      <w:r w:rsidRPr="00C95026">
        <w:rPr>
          <w:sz w:val="28"/>
          <w:szCs w:val="28"/>
        </w:rPr>
        <w:t xml:space="preserve"> та </w:t>
      </w:r>
      <w:proofErr w:type="spellStart"/>
      <w:r w:rsidRPr="00C95026">
        <w:rPr>
          <w:sz w:val="28"/>
          <w:szCs w:val="28"/>
        </w:rPr>
        <w:t>етамбутол</w:t>
      </w:r>
      <w:proofErr w:type="spellEnd"/>
      <w:r w:rsidRPr="00C95026">
        <w:rPr>
          <w:sz w:val="28"/>
          <w:szCs w:val="28"/>
        </w:rPr>
        <w:t xml:space="preserve">, порівняно з </w:t>
      </w:r>
      <w:r>
        <w:rPr>
          <w:sz w:val="28"/>
          <w:szCs w:val="28"/>
        </w:rPr>
        <w:t xml:space="preserve">контрольною </w:t>
      </w:r>
      <w:r w:rsidRPr="00C95026">
        <w:rPr>
          <w:sz w:val="28"/>
          <w:szCs w:val="28"/>
        </w:rPr>
        <w:t>групою. Позитивність</w:t>
      </w:r>
      <w:r>
        <w:rPr>
          <w:sz w:val="28"/>
          <w:szCs w:val="28"/>
        </w:rPr>
        <w:t xml:space="preserve"> мокротиння на</w:t>
      </w:r>
      <w:r w:rsidRPr="00C95026">
        <w:rPr>
          <w:sz w:val="28"/>
          <w:szCs w:val="28"/>
        </w:rPr>
        <w:t xml:space="preserve"> </w:t>
      </w:r>
      <w:proofErr w:type="spellStart"/>
      <w:r w:rsidRPr="00E86C25">
        <w:rPr>
          <w:i/>
          <w:sz w:val="28"/>
          <w:szCs w:val="28"/>
        </w:rPr>
        <w:t>Mycobacterium</w:t>
      </w:r>
      <w:proofErr w:type="spellEnd"/>
      <w:r w:rsidRPr="00E86C25">
        <w:rPr>
          <w:i/>
          <w:sz w:val="28"/>
          <w:szCs w:val="28"/>
        </w:rPr>
        <w:t xml:space="preserve"> </w:t>
      </w:r>
      <w:proofErr w:type="spellStart"/>
      <w:r w:rsidRPr="00E86C25">
        <w:rPr>
          <w:i/>
          <w:sz w:val="28"/>
          <w:szCs w:val="28"/>
        </w:rPr>
        <w:t>tuberculosis</w:t>
      </w:r>
      <w:proofErr w:type="spellEnd"/>
      <w:r w:rsidRPr="00C95026">
        <w:rPr>
          <w:sz w:val="28"/>
          <w:szCs w:val="28"/>
        </w:rPr>
        <w:t xml:space="preserve"> спостерігалася протягом </w:t>
      </w:r>
      <w:r>
        <w:rPr>
          <w:sz w:val="28"/>
          <w:szCs w:val="28"/>
        </w:rPr>
        <w:t>2-</w:t>
      </w:r>
      <w:r w:rsidRPr="00C95026">
        <w:rPr>
          <w:sz w:val="28"/>
          <w:szCs w:val="28"/>
        </w:rPr>
        <w:t>го місяця лікування у 25,0</w:t>
      </w:r>
      <w:r>
        <w:rPr>
          <w:sz w:val="28"/>
          <w:szCs w:val="28"/>
        </w:rPr>
        <w:t> </w:t>
      </w:r>
      <w:r w:rsidRPr="00C95026">
        <w:rPr>
          <w:sz w:val="28"/>
          <w:szCs w:val="28"/>
        </w:rPr>
        <w:t>% пацієнтів із груп</w:t>
      </w:r>
      <w:r>
        <w:rPr>
          <w:sz w:val="28"/>
          <w:szCs w:val="28"/>
        </w:rPr>
        <w:t>и</w:t>
      </w:r>
      <w:r w:rsidRPr="00C95026">
        <w:rPr>
          <w:sz w:val="28"/>
          <w:szCs w:val="28"/>
        </w:rPr>
        <w:t xml:space="preserve"> 1 та 76,1</w:t>
      </w:r>
      <w:r>
        <w:rPr>
          <w:sz w:val="28"/>
          <w:szCs w:val="28"/>
        </w:rPr>
        <w:t> </w:t>
      </w:r>
      <w:r w:rsidRPr="00C95026">
        <w:rPr>
          <w:sz w:val="28"/>
          <w:szCs w:val="28"/>
        </w:rPr>
        <w:t xml:space="preserve">% пацієнтів із групи </w:t>
      </w:r>
      <w:r>
        <w:rPr>
          <w:sz w:val="28"/>
          <w:szCs w:val="28"/>
        </w:rPr>
        <w:t xml:space="preserve">2 </w:t>
      </w:r>
      <w:r w:rsidRPr="00C95026">
        <w:rPr>
          <w:sz w:val="28"/>
          <w:szCs w:val="28"/>
        </w:rPr>
        <w:t>(р=0,003). Крім того, 9 (39,1</w:t>
      </w:r>
      <w:r>
        <w:rPr>
          <w:sz w:val="28"/>
          <w:szCs w:val="28"/>
        </w:rPr>
        <w:t> </w:t>
      </w:r>
      <w:r w:rsidRPr="00C95026">
        <w:rPr>
          <w:sz w:val="28"/>
          <w:szCs w:val="28"/>
        </w:rPr>
        <w:t xml:space="preserve">%) </w:t>
      </w:r>
      <w:r>
        <w:rPr>
          <w:sz w:val="28"/>
          <w:szCs w:val="28"/>
        </w:rPr>
        <w:t>хворих із групи 1</w:t>
      </w:r>
      <w:r w:rsidRPr="00C95026">
        <w:rPr>
          <w:sz w:val="28"/>
          <w:szCs w:val="28"/>
        </w:rPr>
        <w:t xml:space="preserve"> померли </w:t>
      </w:r>
      <w:r>
        <w:rPr>
          <w:sz w:val="28"/>
          <w:szCs w:val="28"/>
        </w:rPr>
        <w:t>протягом</w:t>
      </w:r>
      <w:r w:rsidRPr="00C95026">
        <w:rPr>
          <w:sz w:val="28"/>
          <w:szCs w:val="28"/>
        </w:rPr>
        <w:t xml:space="preserve"> 6 місяців порівняно з 22 (70,9</w:t>
      </w:r>
      <w:r>
        <w:rPr>
          <w:sz w:val="28"/>
          <w:szCs w:val="28"/>
        </w:rPr>
        <w:t> </w:t>
      </w:r>
      <w:r w:rsidRPr="00C95026">
        <w:rPr>
          <w:sz w:val="28"/>
          <w:szCs w:val="28"/>
        </w:rPr>
        <w:t xml:space="preserve">%) </w:t>
      </w:r>
      <w:r>
        <w:rPr>
          <w:sz w:val="28"/>
          <w:szCs w:val="28"/>
        </w:rPr>
        <w:t>хворими в</w:t>
      </w:r>
      <w:r w:rsidRPr="00C95026">
        <w:rPr>
          <w:sz w:val="28"/>
          <w:szCs w:val="28"/>
        </w:rPr>
        <w:t xml:space="preserve"> групі 2 (р=0,023).</w:t>
      </w:r>
    </w:p>
    <w:p w:rsidR="00F3287E" w:rsidRPr="006218AE" w:rsidRDefault="00F3287E" w:rsidP="00F3287E">
      <w:pPr>
        <w:spacing w:after="120" w:line="276" w:lineRule="auto"/>
        <w:ind w:firstLine="709"/>
        <w:jc w:val="both"/>
        <w:rPr>
          <w:spacing w:val="-4"/>
          <w:sz w:val="28"/>
          <w:szCs w:val="28"/>
        </w:rPr>
      </w:pPr>
      <w:r w:rsidRPr="006218AE">
        <w:rPr>
          <w:b/>
          <w:spacing w:val="-4"/>
          <w:sz w:val="28"/>
          <w:szCs w:val="28"/>
        </w:rPr>
        <w:t>Висновки.</w:t>
      </w:r>
      <w:r w:rsidRPr="006218AE">
        <w:rPr>
          <w:spacing w:val="-4"/>
          <w:sz w:val="28"/>
          <w:szCs w:val="28"/>
        </w:rPr>
        <w:t xml:space="preserve"> При туберкульозному менінгіті та ВІЛ внутрішньовенне лікування </w:t>
      </w:r>
      <w:proofErr w:type="spellStart"/>
      <w:r w:rsidRPr="006218AE">
        <w:rPr>
          <w:spacing w:val="-4"/>
          <w:sz w:val="28"/>
          <w:szCs w:val="28"/>
        </w:rPr>
        <w:t>ізоніазидом</w:t>
      </w:r>
      <w:proofErr w:type="spellEnd"/>
      <w:r w:rsidRPr="006218AE">
        <w:rPr>
          <w:spacing w:val="-4"/>
          <w:sz w:val="28"/>
          <w:szCs w:val="28"/>
        </w:rPr>
        <w:t xml:space="preserve"> та </w:t>
      </w:r>
      <w:proofErr w:type="spellStart"/>
      <w:r w:rsidRPr="006218AE">
        <w:rPr>
          <w:spacing w:val="-4"/>
          <w:sz w:val="28"/>
          <w:szCs w:val="28"/>
        </w:rPr>
        <w:t>етамбутолом</w:t>
      </w:r>
      <w:proofErr w:type="spellEnd"/>
      <w:r w:rsidRPr="006218AE">
        <w:rPr>
          <w:spacing w:val="-4"/>
          <w:sz w:val="28"/>
          <w:szCs w:val="28"/>
        </w:rPr>
        <w:t xml:space="preserve"> було ефективнішим, аніж пероральне, на 2-му місяці інтенсивної терапії, що проявлялось у швидшій конверсії мокротиння, клінічному поліпшенні та більшій середній концентрації препаратів у сироватці крові. Крім того, смертність була нижчою в разі внутрішньовенного лікування </w:t>
      </w:r>
      <w:proofErr w:type="spellStart"/>
      <w:r w:rsidRPr="006218AE">
        <w:rPr>
          <w:spacing w:val="-4"/>
          <w:sz w:val="28"/>
          <w:szCs w:val="28"/>
        </w:rPr>
        <w:t>ізоніазидом</w:t>
      </w:r>
      <w:proofErr w:type="spellEnd"/>
      <w:r w:rsidRPr="006218AE">
        <w:rPr>
          <w:spacing w:val="-4"/>
          <w:sz w:val="28"/>
          <w:szCs w:val="28"/>
        </w:rPr>
        <w:t xml:space="preserve"> та </w:t>
      </w:r>
      <w:proofErr w:type="spellStart"/>
      <w:r w:rsidRPr="006218AE">
        <w:rPr>
          <w:spacing w:val="-4"/>
          <w:sz w:val="28"/>
          <w:szCs w:val="28"/>
        </w:rPr>
        <w:t>етамбутолом</w:t>
      </w:r>
      <w:proofErr w:type="spellEnd"/>
      <w:r w:rsidRPr="006218AE">
        <w:rPr>
          <w:spacing w:val="-4"/>
          <w:sz w:val="28"/>
          <w:szCs w:val="28"/>
        </w:rPr>
        <w:t xml:space="preserve"> порівняно з пероральним.</w:t>
      </w:r>
    </w:p>
    <w:p w:rsidR="00F3287E" w:rsidRDefault="00F3287E" w:rsidP="00F3287E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C95026">
        <w:rPr>
          <w:b/>
          <w:sz w:val="28"/>
          <w:szCs w:val="28"/>
        </w:rPr>
        <w:t>Ключові слова:</w:t>
      </w:r>
      <w:r w:rsidRPr="000663F1"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 xml:space="preserve">туберкульоз, туберкульозний менінгіт, ВІЛ, концентрація препаратів, </w:t>
      </w:r>
      <w:proofErr w:type="spellStart"/>
      <w:r w:rsidRPr="00C95026">
        <w:rPr>
          <w:sz w:val="28"/>
          <w:szCs w:val="28"/>
        </w:rPr>
        <w:t>етамбутол</w:t>
      </w:r>
      <w:proofErr w:type="spellEnd"/>
      <w:r w:rsidRPr="00C95026">
        <w:rPr>
          <w:sz w:val="28"/>
          <w:szCs w:val="28"/>
        </w:rPr>
        <w:t xml:space="preserve">, </w:t>
      </w:r>
      <w:proofErr w:type="spellStart"/>
      <w:r w:rsidRPr="00C95026">
        <w:rPr>
          <w:sz w:val="28"/>
          <w:szCs w:val="28"/>
        </w:rPr>
        <w:t>ізоніазид</w:t>
      </w:r>
      <w:proofErr w:type="spellEnd"/>
      <w:r>
        <w:rPr>
          <w:sz w:val="28"/>
          <w:szCs w:val="28"/>
        </w:rPr>
        <w:t>.</w:t>
      </w:r>
    </w:p>
    <w:p w:rsidR="00F3287E" w:rsidRDefault="00F3287E" w:rsidP="00F3287E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Інфузія</w:t>
      </w:r>
      <w:proofErr w:type="spellEnd"/>
      <w:r>
        <w:rPr>
          <w:rStyle w:val="a3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F3287E" w:rsidRPr="00C95026" w:rsidRDefault="00F3287E" w:rsidP="00F3287E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F3287E" w:rsidRPr="00E86C25" w:rsidRDefault="00F3287E" w:rsidP="00F3287E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lastRenderedPageBreak/>
        <w:t xml:space="preserve">Features of infusion chemotherapy with first-line drugs in patients with </w:t>
      </w:r>
      <w:proofErr w:type="spellStart"/>
      <w:r w:rsidRPr="00E86C25">
        <w:rPr>
          <w:b/>
          <w:sz w:val="32"/>
          <w:szCs w:val="28"/>
          <w:lang w:val="en-US"/>
        </w:rPr>
        <w:t>tuberculous</w:t>
      </w:r>
      <w:proofErr w:type="spellEnd"/>
      <w:r w:rsidRPr="00E86C25">
        <w:rPr>
          <w:b/>
          <w:sz w:val="32"/>
          <w:szCs w:val="28"/>
          <w:lang w:val="en-US"/>
        </w:rPr>
        <w:t xml:space="preserve"> meningitis and HIV</w:t>
      </w:r>
    </w:p>
    <w:p w:rsidR="00F3287E" w:rsidRPr="00E86C25" w:rsidRDefault="00F3287E" w:rsidP="00F3287E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E86C25">
        <w:rPr>
          <w:rFonts w:ascii="Times New Roman" w:hAnsi="Times New Roman" w:cs="Times New Roman"/>
          <w:b/>
          <w:sz w:val="26"/>
          <w:szCs w:val="26"/>
          <w:lang w:val="en-US"/>
        </w:rPr>
        <w:t>Butov</w:t>
      </w:r>
      <w:proofErr w:type="spellEnd"/>
      <w:r w:rsidRPr="00E86C2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D.O.</w:t>
      </w:r>
      <w:r w:rsidRPr="00E86C25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1</w:t>
      </w:r>
      <w:r w:rsidRPr="00E86C25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rFonts w:ascii="Times New Roman" w:hAnsi="Times New Roman" w:cs="Times New Roman"/>
          <w:b/>
          <w:bCs/>
          <w:sz w:val="26"/>
          <w:szCs w:val="26"/>
          <w:lang w:val="en-US"/>
        </w:rPr>
        <w:t>Kuzhko</w:t>
      </w:r>
      <w:proofErr w:type="spellEnd"/>
      <w:r w:rsidRPr="00E86C2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M.M.</w:t>
      </w:r>
      <w:r w:rsidRPr="00E86C25">
        <w:rPr>
          <w:rFonts w:ascii="Times New Roman" w:hAnsi="Times New Roman" w:cs="Times New Roman"/>
          <w:b/>
          <w:bCs/>
          <w:sz w:val="26"/>
          <w:szCs w:val="26"/>
          <w:vertAlign w:val="superscript"/>
          <w:lang w:val="en-US"/>
        </w:rPr>
        <w:t>2</w:t>
      </w:r>
      <w:r w:rsidRPr="00E86C25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, </w:t>
      </w:r>
      <w:proofErr w:type="spellStart"/>
      <w:r w:rsidRPr="00E86C25">
        <w:rPr>
          <w:rFonts w:ascii="Times New Roman" w:eastAsia="NewtonC-Italic" w:hAnsi="Times New Roman" w:cs="Times New Roman"/>
          <w:b/>
          <w:iCs/>
          <w:sz w:val="26"/>
          <w:szCs w:val="26"/>
          <w:lang w:val="en-US"/>
        </w:rPr>
        <w:t>Gumeniuk</w:t>
      </w:r>
      <w:proofErr w:type="spellEnd"/>
      <w:r w:rsidRPr="00E86C25">
        <w:rPr>
          <w:rFonts w:ascii="Times New Roman" w:eastAsia="NewtonC-Italic" w:hAnsi="Times New Roman" w:cs="Times New Roman"/>
          <w:b/>
          <w:iCs/>
          <w:sz w:val="26"/>
          <w:szCs w:val="26"/>
          <w:lang w:val="en-US"/>
        </w:rPr>
        <w:t xml:space="preserve"> M.I.</w:t>
      </w:r>
      <w:r w:rsidRPr="00E86C25">
        <w:rPr>
          <w:rFonts w:ascii="Times New Roman" w:eastAsia="NewtonC-Italic" w:hAnsi="Times New Roman" w:cs="Times New Roman"/>
          <w:b/>
          <w:iCs/>
          <w:sz w:val="26"/>
          <w:szCs w:val="26"/>
          <w:vertAlign w:val="superscript"/>
          <w:lang w:val="en-US"/>
        </w:rPr>
        <w:t>2</w:t>
      </w:r>
      <w:r w:rsidRPr="00E86C25">
        <w:rPr>
          <w:rFonts w:ascii="Times New Roman" w:eastAsia="NewtonC-Italic" w:hAnsi="Times New Roman" w:cs="Times New Roman"/>
          <w:b/>
          <w:iCs/>
          <w:sz w:val="26"/>
          <w:szCs w:val="26"/>
          <w:lang w:val="en-US"/>
        </w:rPr>
        <w:t xml:space="preserve">, </w:t>
      </w:r>
      <w:proofErr w:type="spellStart"/>
      <w:r w:rsidRPr="00E86C25">
        <w:rPr>
          <w:rFonts w:ascii="Times New Roman" w:hAnsi="Times New Roman" w:cs="Times New Roman"/>
          <w:b/>
          <w:sz w:val="26"/>
          <w:szCs w:val="26"/>
          <w:lang w:val="en-US"/>
        </w:rPr>
        <w:t>Butova</w:t>
      </w:r>
      <w:proofErr w:type="spellEnd"/>
      <w:r w:rsidRPr="00E86C2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T.S.</w:t>
      </w:r>
      <w:r w:rsidRPr="00E86C25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3</w:t>
      </w:r>
    </w:p>
    <w:p w:rsidR="00F3287E" w:rsidRPr="00E86C25" w:rsidRDefault="00F3287E" w:rsidP="00F3287E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vertAlign w:val="superscript"/>
          <w:lang w:val="en-US"/>
        </w:rPr>
        <w:t>1</w:t>
      </w:r>
      <w:r w:rsidRPr="00E86C25">
        <w:rPr>
          <w:sz w:val="26"/>
          <w:szCs w:val="26"/>
          <w:lang w:val="en-US"/>
        </w:rPr>
        <w:t xml:space="preserve"> </w:t>
      </w:r>
      <w:proofErr w:type="spellStart"/>
      <w:r w:rsidRPr="00E86C25">
        <w:rPr>
          <w:sz w:val="26"/>
          <w:szCs w:val="26"/>
          <w:lang w:val="en-US"/>
        </w:rPr>
        <w:t>Kharkiv</w:t>
      </w:r>
      <w:proofErr w:type="spellEnd"/>
      <w:r w:rsidRPr="00E86C25">
        <w:rPr>
          <w:sz w:val="26"/>
          <w:szCs w:val="26"/>
          <w:lang w:val="en-US"/>
        </w:rPr>
        <w:t xml:space="preserve"> National Medical University, </w:t>
      </w:r>
      <w:proofErr w:type="spellStart"/>
      <w:r w:rsidRPr="00E86C25">
        <w:rPr>
          <w:sz w:val="26"/>
          <w:szCs w:val="26"/>
          <w:lang w:val="en-US"/>
        </w:rPr>
        <w:t>Kharkiv</w:t>
      </w:r>
      <w:proofErr w:type="spellEnd"/>
      <w:r w:rsidRPr="00E86C25">
        <w:rPr>
          <w:sz w:val="26"/>
          <w:szCs w:val="26"/>
          <w:lang w:val="en-US"/>
        </w:rPr>
        <w:t>, Ukraine</w:t>
      </w:r>
    </w:p>
    <w:p w:rsidR="00F3287E" w:rsidRPr="00E86C25" w:rsidRDefault="00F3287E" w:rsidP="00F3287E">
      <w:pPr>
        <w:spacing w:after="120" w:line="276" w:lineRule="auto"/>
        <w:ind w:firstLine="0"/>
        <w:jc w:val="both"/>
        <w:rPr>
          <w:iCs/>
          <w:sz w:val="26"/>
          <w:szCs w:val="26"/>
          <w:lang w:val="en-US" w:eastAsia="uk-UA"/>
        </w:rPr>
      </w:pPr>
      <w:r w:rsidRPr="00E86C25">
        <w:rPr>
          <w:sz w:val="26"/>
          <w:szCs w:val="26"/>
          <w:vertAlign w:val="superscript"/>
          <w:lang w:val="en-US"/>
        </w:rPr>
        <w:t xml:space="preserve">2 </w:t>
      </w:r>
      <w:r w:rsidRPr="00E86C25">
        <w:rPr>
          <w:sz w:val="26"/>
          <w:szCs w:val="26"/>
          <w:lang w:val="en-US"/>
        </w:rPr>
        <w:t>State Institution “</w:t>
      </w:r>
      <w:proofErr w:type="spellStart"/>
      <w:r w:rsidRPr="00E86C25">
        <w:rPr>
          <w:sz w:val="26"/>
          <w:szCs w:val="26"/>
          <w:lang w:val="en-US"/>
        </w:rPr>
        <w:t>Yanovsky</w:t>
      </w:r>
      <w:proofErr w:type="spellEnd"/>
      <w:r w:rsidRPr="00E86C25">
        <w:rPr>
          <w:sz w:val="26"/>
          <w:szCs w:val="26"/>
          <w:lang w:val="en-US"/>
        </w:rPr>
        <w:t xml:space="preserve"> National Institute of </w:t>
      </w:r>
      <w:proofErr w:type="spellStart"/>
      <w:r w:rsidRPr="00E86C25">
        <w:rPr>
          <w:sz w:val="26"/>
          <w:szCs w:val="26"/>
          <w:lang w:val="en-US"/>
        </w:rPr>
        <w:t>Phthisiology</w:t>
      </w:r>
      <w:proofErr w:type="spellEnd"/>
      <w:r w:rsidRPr="00E86C25">
        <w:rPr>
          <w:sz w:val="26"/>
          <w:szCs w:val="26"/>
          <w:lang w:val="en-US"/>
        </w:rPr>
        <w:t xml:space="preserve"> and </w:t>
      </w:r>
      <w:proofErr w:type="spellStart"/>
      <w:r w:rsidRPr="00E86C25">
        <w:rPr>
          <w:sz w:val="26"/>
          <w:szCs w:val="26"/>
          <w:lang w:val="en-US"/>
        </w:rPr>
        <w:t>Pulmonology</w:t>
      </w:r>
      <w:proofErr w:type="spellEnd"/>
      <w:r w:rsidRPr="00E86C25">
        <w:rPr>
          <w:sz w:val="26"/>
          <w:szCs w:val="26"/>
          <w:lang w:val="en-US"/>
        </w:rPr>
        <w:t xml:space="preserve"> of the National Academy of Medical Sciences of Ukraine”, </w:t>
      </w:r>
      <w:r w:rsidRPr="00E86C25">
        <w:rPr>
          <w:iCs/>
          <w:sz w:val="26"/>
          <w:szCs w:val="26"/>
          <w:lang w:val="en-US" w:eastAsia="uk-UA"/>
        </w:rPr>
        <w:t>Kyiv, Ukraine</w:t>
      </w:r>
    </w:p>
    <w:p w:rsidR="00F3287E" w:rsidRPr="00E86C25" w:rsidRDefault="00F3287E" w:rsidP="00F3287E">
      <w:pPr>
        <w:tabs>
          <w:tab w:val="left" w:pos="5490"/>
          <w:tab w:val="left" w:pos="7518"/>
        </w:tabs>
        <w:spacing w:after="120" w:line="276" w:lineRule="auto"/>
        <w:ind w:firstLine="0"/>
        <w:jc w:val="both"/>
        <w:rPr>
          <w:color w:val="1A171B"/>
          <w:sz w:val="26"/>
          <w:szCs w:val="26"/>
          <w:lang w:val="en-US"/>
        </w:rPr>
      </w:pPr>
      <w:r w:rsidRPr="00E86C25">
        <w:rPr>
          <w:sz w:val="26"/>
          <w:szCs w:val="26"/>
          <w:vertAlign w:val="superscript"/>
          <w:lang w:val="en-US"/>
        </w:rPr>
        <w:t>3</w:t>
      </w:r>
      <w:r w:rsidRPr="00E86C25">
        <w:rPr>
          <w:sz w:val="26"/>
          <w:szCs w:val="26"/>
          <w:lang w:val="en-US"/>
        </w:rPr>
        <w:t xml:space="preserve"> </w:t>
      </w:r>
      <w:proofErr w:type="spellStart"/>
      <w:r w:rsidRPr="00E86C25">
        <w:rPr>
          <w:sz w:val="26"/>
          <w:szCs w:val="26"/>
          <w:lang w:val="en-US"/>
        </w:rPr>
        <w:t>Karazin</w:t>
      </w:r>
      <w:proofErr w:type="spellEnd"/>
      <w:r w:rsidRPr="00E86C25">
        <w:rPr>
          <w:sz w:val="26"/>
          <w:szCs w:val="26"/>
          <w:lang w:val="en-US"/>
        </w:rPr>
        <w:t xml:space="preserve"> </w:t>
      </w:r>
      <w:proofErr w:type="spellStart"/>
      <w:r w:rsidRPr="00E86C25">
        <w:rPr>
          <w:sz w:val="26"/>
          <w:szCs w:val="26"/>
          <w:lang w:val="en-US"/>
        </w:rPr>
        <w:t>Kharkiv</w:t>
      </w:r>
      <w:proofErr w:type="spellEnd"/>
      <w:r w:rsidRPr="00E86C25">
        <w:rPr>
          <w:sz w:val="26"/>
          <w:szCs w:val="26"/>
          <w:lang w:val="en-US"/>
        </w:rPr>
        <w:t xml:space="preserve"> National University, </w:t>
      </w:r>
      <w:proofErr w:type="spellStart"/>
      <w:r w:rsidRPr="00E86C25">
        <w:rPr>
          <w:sz w:val="26"/>
          <w:szCs w:val="26"/>
          <w:lang w:val="en-US"/>
        </w:rPr>
        <w:t>Kharkiv</w:t>
      </w:r>
      <w:proofErr w:type="spellEnd"/>
      <w:r w:rsidRPr="00E86C25">
        <w:rPr>
          <w:iCs/>
          <w:sz w:val="26"/>
          <w:szCs w:val="26"/>
          <w:lang w:val="en-US" w:eastAsia="uk-UA"/>
        </w:rPr>
        <w:t>, Ukraine</w:t>
      </w:r>
    </w:p>
    <w:p w:rsidR="00F3287E" w:rsidRPr="00C95026" w:rsidRDefault="00F3287E" w:rsidP="00F3287E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7C010F">
        <w:rPr>
          <w:b/>
          <w:sz w:val="28"/>
          <w:szCs w:val="28"/>
          <w:lang w:val="en-US"/>
        </w:rPr>
        <w:t>Objective.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 w:rsidRPr="00C95026">
        <w:rPr>
          <w:sz w:val="28"/>
          <w:szCs w:val="28"/>
          <w:lang w:val="en-US"/>
        </w:rPr>
        <w:t>To investigate the effectiveness of first-line intravenous drugs (</w:t>
      </w:r>
      <w:proofErr w:type="spellStart"/>
      <w:r w:rsidRPr="00C95026">
        <w:rPr>
          <w:sz w:val="28"/>
          <w:szCs w:val="28"/>
          <w:lang w:val="en-US"/>
        </w:rPr>
        <w:t>isoniazid</w:t>
      </w:r>
      <w:proofErr w:type="spellEnd"/>
      <w:r w:rsidRPr="00C95026">
        <w:rPr>
          <w:sz w:val="28"/>
          <w:szCs w:val="28"/>
          <w:lang w:val="en-US"/>
        </w:rPr>
        <w:t xml:space="preserve"> and </w:t>
      </w:r>
      <w:proofErr w:type="spellStart"/>
      <w:r w:rsidRPr="00C95026">
        <w:rPr>
          <w:sz w:val="28"/>
          <w:szCs w:val="28"/>
          <w:lang w:val="en-US"/>
        </w:rPr>
        <w:t>ethambutol</w:t>
      </w:r>
      <w:proofErr w:type="spellEnd"/>
      <w:r w:rsidRPr="00C95026">
        <w:rPr>
          <w:sz w:val="28"/>
          <w:szCs w:val="28"/>
          <w:lang w:val="en-US"/>
        </w:rPr>
        <w:t xml:space="preserve">) in patients with </w:t>
      </w:r>
      <w:proofErr w:type="spellStart"/>
      <w:r w:rsidRPr="00C95026">
        <w:rPr>
          <w:sz w:val="28"/>
          <w:szCs w:val="28"/>
          <w:lang w:val="en-US"/>
        </w:rPr>
        <w:t>tuberculous</w:t>
      </w:r>
      <w:proofErr w:type="spellEnd"/>
      <w:r w:rsidRPr="00C95026">
        <w:rPr>
          <w:sz w:val="28"/>
          <w:szCs w:val="28"/>
          <w:lang w:val="en-US"/>
        </w:rPr>
        <w:t xml:space="preserve"> meningitis and HIV during the intensive phase of chemotherapy.</w:t>
      </w:r>
      <w:proofErr w:type="gramEnd"/>
    </w:p>
    <w:p w:rsidR="00F3287E" w:rsidRPr="00C95026" w:rsidRDefault="00F3287E" w:rsidP="00F3287E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C95026">
        <w:rPr>
          <w:b/>
          <w:sz w:val="28"/>
          <w:szCs w:val="28"/>
          <w:lang w:val="en-US"/>
        </w:rPr>
        <w:t>Materials and methods</w:t>
      </w:r>
      <w:r w:rsidRPr="00A7637D">
        <w:rPr>
          <w:b/>
          <w:sz w:val="28"/>
          <w:szCs w:val="28"/>
          <w:lang w:val="en-US"/>
        </w:rPr>
        <w:t>.</w:t>
      </w:r>
      <w:proofErr w:type="gramEnd"/>
      <w:r w:rsidRPr="00C950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54</w:t>
      </w:r>
      <w:r w:rsidRPr="00C95026">
        <w:rPr>
          <w:sz w:val="28"/>
          <w:szCs w:val="28"/>
          <w:lang w:val="en-US"/>
        </w:rPr>
        <w:t xml:space="preserve"> patients with newly diagnosed infiltrative pulmonary tuberculosis, </w:t>
      </w:r>
      <w:proofErr w:type="spellStart"/>
      <w:r w:rsidRPr="00C95026">
        <w:rPr>
          <w:sz w:val="28"/>
          <w:szCs w:val="28"/>
          <w:lang w:val="en-US"/>
        </w:rPr>
        <w:t>tuberculous</w:t>
      </w:r>
      <w:proofErr w:type="spellEnd"/>
      <w:r w:rsidRPr="00C95026">
        <w:rPr>
          <w:sz w:val="28"/>
          <w:szCs w:val="28"/>
          <w:lang w:val="en-US"/>
        </w:rPr>
        <w:t xml:space="preserve"> meningitis, and HIV were included in this study. The presence of </w:t>
      </w:r>
      <w:r w:rsidRPr="00E86C25">
        <w:rPr>
          <w:i/>
          <w:sz w:val="28"/>
          <w:szCs w:val="28"/>
          <w:lang w:val="en-US"/>
        </w:rPr>
        <w:t>Mycobacterium tuberculosis</w:t>
      </w:r>
      <w:r w:rsidRPr="00C95026">
        <w:rPr>
          <w:sz w:val="28"/>
          <w:szCs w:val="28"/>
          <w:lang w:val="en-US"/>
        </w:rPr>
        <w:t xml:space="preserve"> in sputum was observed in all patients. Group 1 consisted of 23 patients receiving </w:t>
      </w:r>
      <w:proofErr w:type="spellStart"/>
      <w:r w:rsidRPr="00C95026">
        <w:rPr>
          <w:sz w:val="28"/>
          <w:szCs w:val="28"/>
          <w:lang w:val="en-US"/>
        </w:rPr>
        <w:t>ethambutol</w:t>
      </w:r>
      <w:proofErr w:type="spellEnd"/>
      <w:r w:rsidRPr="00C95026">
        <w:rPr>
          <w:sz w:val="28"/>
          <w:szCs w:val="28"/>
          <w:lang w:val="en-US"/>
        </w:rPr>
        <w:t xml:space="preserve"> and </w:t>
      </w:r>
      <w:proofErr w:type="spellStart"/>
      <w:r w:rsidRPr="00C95026">
        <w:rPr>
          <w:sz w:val="28"/>
          <w:szCs w:val="28"/>
          <w:lang w:val="en-US"/>
        </w:rPr>
        <w:t>isoniazid</w:t>
      </w:r>
      <w:proofErr w:type="spellEnd"/>
      <w:r w:rsidRPr="00C95026">
        <w:rPr>
          <w:sz w:val="28"/>
          <w:szCs w:val="28"/>
          <w:lang w:val="en-US"/>
        </w:rPr>
        <w:t xml:space="preserve"> intravenously, and </w:t>
      </w:r>
      <w:proofErr w:type="spellStart"/>
      <w:r w:rsidRPr="00C95026">
        <w:rPr>
          <w:sz w:val="28"/>
          <w:szCs w:val="28"/>
          <w:lang w:val="en-US"/>
        </w:rPr>
        <w:t>rifampicin</w:t>
      </w:r>
      <w:proofErr w:type="spellEnd"/>
      <w:r w:rsidRPr="00C95026">
        <w:rPr>
          <w:sz w:val="28"/>
          <w:szCs w:val="28"/>
          <w:lang w:val="en-US"/>
        </w:rPr>
        <w:t xml:space="preserve"> and </w:t>
      </w:r>
      <w:proofErr w:type="spellStart"/>
      <w:r w:rsidRPr="00C95026">
        <w:rPr>
          <w:sz w:val="28"/>
          <w:szCs w:val="28"/>
          <w:lang w:val="en-US"/>
        </w:rPr>
        <w:t>pyrazinamide</w:t>
      </w:r>
      <w:proofErr w:type="spellEnd"/>
      <w:r w:rsidRPr="00C95026">
        <w:rPr>
          <w:sz w:val="28"/>
          <w:szCs w:val="28"/>
          <w:lang w:val="en-US"/>
        </w:rPr>
        <w:t xml:space="preserve"> were administered orally. Group 2 consisted of 31 patients treated with first-line oral anti-</w:t>
      </w:r>
      <w:r>
        <w:rPr>
          <w:sz w:val="28"/>
          <w:szCs w:val="28"/>
          <w:lang w:val="en-US"/>
        </w:rPr>
        <w:t>tuberculosis</w:t>
      </w:r>
      <w:r w:rsidRPr="00C95026">
        <w:rPr>
          <w:sz w:val="28"/>
          <w:szCs w:val="28"/>
          <w:lang w:val="en-US"/>
        </w:rPr>
        <w:t xml:space="preserve"> drugs. Serum </w:t>
      </w:r>
      <w:proofErr w:type="spellStart"/>
      <w:r w:rsidRPr="00C95026">
        <w:rPr>
          <w:sz w:val="28"/>
          <w:szCs w:val="28"/>
          <w:lang w:val="en-US"/>
        </w:rPr>
        <w:t>isoniazid</w:t>
      </w:r>
      <w:proofErr w:type="spellEnd"/>
      <w:r w:rsidRPr="00C95026">
        <w:rPr>
          <w:sz w:val="28"/>
          <w:szCs w:val="28"/>
          <w:lang w:val="en-US"/>
        </w:rPr>
        <w:t xml:space="preserve"> and </w:t>
      </w:r>
      <w:proofErr w:type="spellStart"/>
      <w:r w:rsidRPr="00C95026">
        <w:rPr>
          <w:sz w:val="28"/>
          <w:szCs w:val="28"/>
          <w:lang w:val="en-US"/>
        </w:rPr>
        <w:t>ethambutol</w:t>
      </w:r>
      <w:proofErr w:type="spellEnd"/>
      <w:r w:rsidRPr="00C95026">
        <w:rPr>
          <w:sz w:val="28"/>
          <w:szCs w:val="28"/>
          <w:lang w:val="en-US"/>
        </w:rPr>
        <w:t xml:space="preserve"> concentrations were determined by chromatographic method.</w:t>
      </w:r>
    </w:p>
    <w:p w:rsidR="00F3287E" w:rsidRPr="00C95026" w:rsidRDefault="00F3287E" w:rsidP="00F3287E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C95026">
        <w:rPr>
          <w:b/>
          <w:sz w:val="28"/>
          <w:szCs w:val="28"/>
          <w:lang w:val="en-US"/>
        </w:rPr>
        <w:t>Results.</w:t>
      </w:r>
      <w:proofErr w:type="gramEnd"/>
      <w:r w:rsidRPr="00C95026">
        <w:rPr>
          <w:sz w:val="28"/>
          <w:szCs w:val="28"/>
          <w:lang w:val="en-US"/>
        </w:rPr>
        <w:t xml:space="preserve"> There was a greater improvement in clinical symptoms and radiographic evidence in patients receiving intravenous </w:t>
      </w:r>
      <w:proofErr w:type="spellStart"/>
      <w:r w:rsidRPr="00C95026">
        <w:rPr>
          <w:sz w:val="28"/>
          <w:szCs w:val="28"/>
          <w:lang w:val="en-US"/>
        </w:rPr>
        <w:t>isoniazid</w:t>
      </w:r>
      <w:proofErr w:type="spellEnd"/>
      <w:r w:rsidRPr="00C95026">
        <w:rPr>
          <w:sz w:val="28"/>
          <w:szCs w:val="28"/>
          <w:lang w:val="en-US"/>
        </w:rPr>
        <w:t xml:space="preserve"> and </w:t>
      </w:r>
      <w:proofErr w:type="spellStart"/>
      <w:r w:rsidRPr="00C95026">
        <w:rPr>
          <w:sz w:val="28"/>
          <w:szCs w:val="28"/>
          <w:lang w:val="en-US"/>
        </w:rPr>
        <w:t>ethambutol</w:t>
      </w:r>
      <w:proofErr w:type="spellEnd"/>
      <w:r w:rsidRPr="00C95026">
        <w:rPr>
          <w:sz w:val="28"/>
          <w:szCs w:val="28"/>
          <w:lang w:val="en-US"/>
        </w:rPr>
        <w:t xml:space="preserve"> compared with group 2. Positivity of sputum </w:t>
      </w:r>
      <w:r w:rsidRPr="00E86C25">
        <w:rPr>
          <w:i/>
          <w:sz w:val="28"/>
          <w:szCs w:val="28"/>
          <w:lang w:val="en-US"/>
        </w:rPr>
        <w:t>Mycobacterium tuberculosis</w:t>
      </w:r>
      <w:r w:rsidRPr="00C95026">
        <w:rPr>
          <w:sz w:val="28"/>
          <w:szCs w:val="28"/>
          <w:lang w:val="en-US"/>
        </w:rPr>
        <w:t xml:space="preserve"> was observed during the second month of treatment in 25.0</w:t>
      </w:r>
      <w:r>
        <w:rPr>
          <w:sz w:val="28"/>
          <w:szCs w:val="28"/>
        </w:rPr>
        <w:t> </w:t>
      </w:r>
      <w:r w:rsidRPr="00C95026">
        <w:rPr>
          <w:sz w:val="28"/>
          <w:szCs w:val="28"/>
          <w:lang w:val="en-US"/>
        </w:rPr>
        <w:t>% of patients in group 1 and 76.1</w:t>
      </w:r>
      <w:r>
        <w:rPr>
          <w:sz w:val="28"/>
          <w:szCs w:val="28"/>
        </w:rPr>
        <w:t> </w:t>
      </w:r>
      <w:r w:rsidRPr="00C95026">
        <w:rPr>
          <w:sz w:val="28"/>
          <w:szCs w:val="28"/>
          <w:lang w:val="en-US"/>
        </w:rPr>
        <w:t>% of patients in the control group (p=0.003). In addition, 9 (39.1</w:t>
      </w:r>
      <w:r>
        <w:rPr>
          <w:sz w:val="28"/>
          <w:szCs w:val="28"/>
        </w:rPr>
        <w:t> </w:t>
      </w:r>
      <w:r w:rsidRPr="00C95026">
        <w:rPr>
          <w:sz w:val="28"/>
          <w:szCs w:val="28"/>
          <w:lang w:val="en-US"/>
        </w:rPr>
        <w:t xml:space="preserve">%) patients died before 6 months when </w:t>
      </w:r>
      <w:proofErr w:type="spellStart"/>
      <w:r w:rsidRPr="00C95026">
        <w:rPr>
          <w:sz w:val="28"/>
          <w:szCs w:val="28"/>
          <w:lang w:val="en-US"/>
        </w:rPr>
        <w:t>isoniazid</w:t>
      </w:r>
      <w:proofErr w:type="spellEnd"/>
      <w:r w:rsidRPr="00C95026">
        <w:rPr>
          <w:sz w:val="28"/>
          <w:szCs w:val="28"/>
          <w:lang w:val="en-US"/>
        </w:rPr>
        <w:t xml:space="preserve"> and </w:t>
      </w:r>
      <w:proofErr w:type="spellStart"/>
      <w:r w:rsidRPr="00C95026">
        <w:rPr>
          <w:sz w:val="28"/>
          <w:szCs w:val="28"/>
          <w:lang w:val="en-US"/>
        </w:rPr>
        <w:t>ethambutol</w:t>
      </w:r>
      <w:proofErr w:type="spellEnd"/>
      <w:r w:rsidRPr="00C95026">
        <w:rPr>
          <w:sz w:val="28"/>
          <w:szCs w:val="28"/>
          <w:lang w:val="en-US"/>
        </w:rPr>
        <w:t xml:space="preserve"> were administered intravenously compared with 22 (70.9</w:t>
      </w:r>
      <w:r>
        <w:rPr>
          <w:sz w:val="28"/>
          <w:szCs w:val="28"/>
        </w:rPr>
        <w:t> </w:t>
      </w:r>
      <w:r w:rsidRPr="00C95026">
        <w:rPr>
          <w:sz w:val="28"/>
          <w:szCs w:val="28"/>
          <w:lang w:val="en-US"/>
        </w:rPr>
        <w:t>%) in group 2 (p=0.023).</w:t>
      </w:r>
    </w:p>
    <w:p w:rsidR="00F3287E" w:rsidRPr="006218AE" w:rsidRDefault="00F3287E" w:rsidP="00F3287E">
      <w:pPr>
        <w:spacing w:after="120" w:line="276" w:lineRule="auto"/>
        <w:ind w:firstLine="709"/>
        <w:jc w:val="both"/>
        <w:rPr>
          <w:spacing w:val="-4"/>
          <w:sz w:val="28"/>
          <w:szCs w:val="28"/>
          <w:lang w:val="en-US"/>
        </w:rPr>
      </w:pPr>
      <w:proofErr w:type="gramStart"/>
      <w:r w:rsidRPr="006218AE">
        <w:rPr>
          <w:b/>
          <w:spacing w:val="-4"/>
          <w:sz w:val="28"/>
          <w:szCs w:val="28"/>
          <w:lang w:val="en-US"/>
        </w:rPr>
        <w:t>Conclusions.</w:t>
      </w:r>
      <w:proofErr w:type="gramEnd"/>
      <w:r w:rsidRPr="006218AE">
        <w:rPr>
          <w:spacing w:val="-4"/>
          <w:sz w:val="28"/>
          <w:szCs w:val="28"/>
          <w:lang w:val="en-US"/>
        </w:rPr>
        <w:t xml:space="preserve"> In </w:t>
      </w:r>
      <w:proofErr w:type="spellStart"/>
      <w:r w:rsidRPr="006218AE">
        <w:rPr>
          <w:spacing w:val="-4"/>
          <w:sz w:val="28"/>
          <w:szCs w:val="28"/>
          <w:lang w:val="en-US"/>
        </w:rPr>
        <w:t>tuberculous</w:t>
      </w:r>
      <w:proofErr w:type="spellEnd"/>
      <w:r w:rsidRPr="006218AE">
        <w:rPr>
          <w:spacing w:val="-4"/>
          <w:sz w:val="28"/>
          <w:szCs w:val="28"/>
          <w:lang w:val="en-US"/>
        </w:rPr>
        <w:t xml:space="preserve"> meningitis and HIV, intravenous treatment with </w:t>
      </w:r>
      <w:proofErr w:type="spellStart"/>
      <w:r w:rsidRPr="006218AE">
        <w:rPr>
          <w:spacing w:val="-4"/>
          <w:sz w:val="28"/>
          <w:szCs w:val="28"/>
          <w:lang w:val="en-US"/>
        </w:rPr>
        <w:t>isoniazid</w:t>
      </w:r>
      <w:proofErr w:type="spellEnd"/>
      <w:r w:rsidRPr="006218AE">
        <w:rPr>
          <w:spacing w:val="-4"/>
          <w:sz w:val="28"/>
          <w:szCs w:val="28"/>
          <w:lang w:val="en-US"/>
        </w:rPr>
        <w:t xml:space="preserve"> and </w:t>
      </w:r>
      <w:proofErr w:type="spellStart"/>
      <w:r w:rsidRPr="006218AE">
        <w:rPr>
          <w:spacing w:val="-4"/>
          <w:sz w:val="28"/>
          <w:szCs w:val="28"/>
          <w:lang w:val="en-US"/>
        </w:rPr>
        <w:t>ethambutol</w:t>
      </w:r>
      <w:proofErr w:type="spellEnd"/>
      <w:r w:rsidRPr="006218AE">
        <w:rPr>
          <w:spacing w:val="-4"/>
          <w:sz w:val="28"/>
          <w:szCs w:val="28"/>
          <w:lang w:val="en-US"/>
        </w:rPr>
        <w:t xml:space="preserve"> was more effective than oral treatment for 2 months of intensive treatment in the form of faster sputum conversion, clinical improvement, and higher mean concentrations of </w:t>
      </w:r>
      <w:proofErr w:type="spellStart"/>
      <w:r w:rsidRPr="006218AE">
        <w:rPr>
          <w:spacing w:val="-4"/>
          <w:sz w:val="28"/>
          <w:szCs w:val="28"/>
          <w:lang w:val="en-US"/>
        </w:rPr>
        <w:t>isoniazid</w:t>
      </w:r>
      <w:proofErr w:type="spellEnd"/>
      <w:r w:rsidRPr="006218AE">
        <w:rPr>
          <w:spacing w:val="-4"/>
          <w:sz w:val="28"/>
          <w:szCs w:val="28"/>
          <w:lang w:val="en-US"/>
        </w:rPr>
        <w:t xml:space="preserve"> and </w:t>
      </w:r>
      <w:proofErr w:type="spellStart"/>
      <w:r w:rsidRPr="006218AE">
        <w:rPr>
          <w:spacing w:val="-4"/>
          <w:sz w:val="28"/>
          <w:szCs w:val="28"/>
          <w:lang w:val="en-US"/>
        </w:rPr>
        <w:t>ethambut</w:t>
      </w:r>
      <w:proofErr w:type="spellEnd"/>
      <w:r w:rsidRPr="006218AE">
        <w:rPr>
          <w:spacing w:val="-4"/>
          <w:sz w:val="28"/>
          <w:szCs w:val="28"/>
          <w:lang w:val="en-US"/>
        </w:rPr>
        <w:t xml:space="preserve"> blood. In addition, mortality was lower with intravenous </w:t>
      </w:r>
      <w:proofErr w:type="spellStart"/>
      <w:r w:rsidRPr="006218AE">
        <w:rPr>
          <w:spacing w:val="-4"/>
          <w:sz w:val="28"/>
          <w:szCs w:val="28"/>
          <w:lang w:val="en-US"/>
        </w:rPr>
        <w:t>isoniazid</w:t>
      </w:r>
      <w:proofErr w:type="spellEnd"/>
      <w:r w:rsidRPr="006218AE">
        <w:rPr>
          <w:spacing w:val="-4"/>
          <w:sz w:val="28"/>
          <w:szCs w:val="28"/>
          <w:lang w:val="en-US"/>
        </w:rPr>
        <w:t xml:space="preserve"> and </w:t>
      </w:r>
      <w:proofErr w:type="spellStart"/>
      <w:r w:rsidRPr="006218AE">
        <w:rPr>
          <w:spacing w:val="-4"/>
          <w:sz w:val="28"/>
          <w:szCs w:val="28"/>
          <w:lang w:val="en-US"/>
        </w:rPr>
        <w:t>ethambutol</w:t>
      </w:r>
      <w:proofErr w:type="spellEnd"/>
      <w:r w:rsidRPr="006218AE">
        <w:rPr>
          <w:spacing w:val="-4"/>
          <w:sz w:val="28"/>
          <w:szCs w:val="28"/>
          <w:lang w:val="en-US"/>
        </w:rPr>
        <w:t xml:space="preserve"> compared with oral treatment.</w:t>
      </w:r>
    </w:p>
    <w:p w:rsidR="00F3287E" w:rsidRDefault="00F3287E" w:rsidP="00F3287E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C95026">
        <w:rPr>
          <w:b/>
          <w:sz w:val="28"/>
          <w:szCs w:val="28"/>
          <w:lang w:val="en-US"/>
        </w:rPr>
        <w:t>Key words:</w:t>
      </w:r>
      <w:r w:rsidRPr="00C95026">
        <w:rPr>
          <w:sz w:val="28"/>
          <w:szCs w:val="28"/>
          <w:lang w:val="en-US"/>
        </w:rPr>
        <w:t xml:space="preserve"> tuberculosis, </w:t>
      </w:r>
      <w:proofErr w:type="spellStart"/>
      <w:r w:rsidRPr="00C95026">
        <w:rPr>
          <w:sz w:val="28"/>
          <w:szCs w:val="28"/>
          <w:lang w:val="en-US"/>
        </w:rPr>
        <w:t>tuberculous</w:t>
      </w:r>
      <w:proofErr w:type="spellEnd"/>
      <w:r w:rsidRPr="00C95026">
        <w:rPr>
          <w:sz w:val="28"/>
          <w:szCs w:val="28"/>
          <w:lang w:val="en-US"/>
        </w:rPr>
        <w:t xml:space="preserve"> meningitis, HIV, drug concentration, </w:t>
      </w:r>
      <w:proofErr w:type="spellStart"/>
      <w:r w:rsidRPr="00C95026">
        <w:rPr>
          <w:sz w:val="28"/>
          <w:szCs w:val="28"/>
          <w:lang w:val="en-US"/>
        </w:rPr>
        <w:t>ethambutol</w:t>
      </w:r>
      <w:proofErr w:type="spellEnd"/>
      <w:r w:rsidRPr="00C95026">
        <w:rPr>
          <w:sz w:val="28"/>
          <w:szCs w:val="28"/>
          <w:lang w:val="en-US"/>
        </w:rPr>
        <w:t xml:space="preserve">, </w:t>
      </w:r>
      <w:proofErr w:type="spellStart"/>
      <w:r w:rsidRPr="00C95026">
        <w:rPr>
          <w:sz w:val="28"/>
          <w:szCs w:val="28"/>
          <w:lang w:val="en-US"/>
        </w:rPr>
        <w:t>isoniazid</w:t>
      </w:r>
      <w:proofErr w:type="spellEnd"/>
      <w:r>
        <w:rPr>
          <w:sz w:val="28"/>
          <w:szCs w:val="28"/>
          <w:lang w:val="en-US"/>
        </w:rPr>
        <w:t>.</w:t>
      </w:r>
    </w:p>
    <w:p w:rsidR="00F3287E" w:rsidRDefault="00F3287E" w:rsidP="00F3287E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F3287E" w:rsidRPr="00F3287E" w:rsidRDefault="00F3287E" w:rsidP="00F3287E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443273" w:rsidRPr="00F3287E" w:rsidRDefault="00443273">
      <w:pPr>
        <w:rPr>
          <w:lang w:val="en-US"/>
        </w:rPr>
      </w:pPr>
    </w:p>
    <w:sectPr w:rsidR="00443273" w:rsidRPr="00F3287E" w:rsidSect="004432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topia Std 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-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87E"/>
    <w:rsid w:val="00443273"/>
    <w:rsid w:val="00F3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7E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3287E"/>
    <w:pPr>
      <w:autoSpaceDE w:val="0"/>
      <w:autoSpaceDN w:val="0"/>
      <w:adjustRightInd w:val="0"/>
      <w:spacing w:after="0" w:line="240" w:lineRule="auto"/>
    </w:pPr>
    <w:rPr>
      <w:rFonts w:ascii="Utopia Std Semibold" w:eastAsia="Times New Roman" w:hAnsi="Utopia Std Semibold" w:cs="Utopia Std Semibold"/>
      <w:color w:val="000000"/>
      <w:sz w:val="24"/>
      <w:szCs w:val="24"/>
      <w:lang w:val="ru-RU" w:eastAsia="ru-RU"/>
    </w:rPr>
  </w:style>
  <w:style w:type="character" w:styleId="a3">
    <w:name w:val="Hyperlink"/>
    <w:basedOn w:val="a0"/>
    <w:rsid w:val="00F3287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3107</Words>
  <Characters>1771</Characters>
  <Application>Microsoft Office Word</Application>
  <DocSecurity>0</DocSecurity>
  <Lines>14</Lines>
  <Paragraphs>9</Paragraphs>
  <ScaleCrop>false</ScaleCrop>
  <Company>diakov.net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2020-11-09T13:56:00Z</dcterms:created>
  <dcterms:modified xsi:type="dcterms:W3CDTF">2020-11-09T13:56:00Z</dcterms:modified>
</cp:coreProperties>
</file>