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48" w:rsidRDefault="00574348" w:rsidP="00574348">
      <w:pPr>
        <w:shd w:val="clear" w:color="auto" w:fill="FFFFFF"/>
        <w:autoSpaceDE w:val="0"/>
        <w:autoSpaceDN w:val="0"/>
        <w:adjustRightInd w:val="0"/>
        <w:spacing w:after="120" w:line="276" w:lineRule="auto"/>
        <w:ind w:firstLine="0"/>
        <w:jc w:val="both"/>
        <w:rPr>
          <w:b/>
          <w:color w:val="000000"/>
          <w:sz w:val="32"/>
          <w:szCs w:val="28"/>
          <w:lang w:val="ru-RU"/>
        </w:rPr>
      </w:pPr>
      <w:r>
        <w:rPr>
          <w:b/>
          <w:color w:val="000000"/>
          <w:sz w:val="32"/>
          <w:szCs w:val="28"/>
        </w:rPr>
        <w:t>Эффективность донатора оксида азота Тивортина у женщин с постинфарктным кардиосклерозом в перименопаузальном периоде с сер</w:t>
      </w:r>
      <w:bookmarkStart w:id="0" w:name="_GoBack"/>
      <w:bookmarkEnd w:id="0"/>
      <w:r>
        <w:rPr>
          <w:b/>
          <w:color w:val="000000"/>
          <w:sz w:val="32"/>
          <w:szCs w:val="28"/>
        </w:rPr>
        <w:t>дечной недостаточностью</w:t>
      </w:r>
    </w:p>
    <w:p w:rsidR="00574348" w:rsidRDefault="00574348" w:rsidP="00574348">
      <w:pPr>
        <w:shd w:val="clear" w:color="auto" w:fill="FFFFFF"/>
        <w:autoSpaceDE w:val="0"/>
        <w:autoSpaceDN w:val="0"/>
        <w:adjustRightInd w:val="0"/>
        <w:spacing w:after="120" w:line="276" w:lineRule="auto"/>
        <w:ind w:firstLine="0"/>
        <w:jc w:val="both"/>
        <w:rPr>
          <w:b/>
          <w:color w:val="000000"/>
          <w:sz w:val="28"/>
          <w:szCs w:val="28"/>
        </w:rPr>
      </w:pPr>
      <w:r>
        <w:rPr>
          <w:b/>
          <w:color w:val="000000"/>
          <w:sz w:val="28"/>
          <w:szCs w:val="28"/>
        </w:rPr>
        <w:t>Рофиева Х.Ш.</w:t>
      </w:r>
    </w:p>
    <w:p w:rsidR="00574348" w:rsidRDefault="00574348" w:rsidP="00574348">
      <w:pPr>
        <w:pStyle w:val="HTML"/>
        <w:spacing w:after="12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«Комплекс здоровья Истиклол», г. Душанбе, </w:t>
      </w:r>
      <w:r>
        <w:rPr>
          <w:rFonts w:ascii="Times New Roman" w:hAnsi="Times New Roman" w:cs="Times New Roman"/>
          <w:color w:val="000000"/>
          <w:sz w:val="28"/>
          <w:szCs w:val="28"/>
        </w:rPr>
        <w:t>Таджикистан</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rPr>
      </w:pPr>
      <w:r>
        <w:rPr>
          <w:b/>
          <w:color w:val="000000"/>
          <w:sz w:val="28"/>
          <w:szCs w:val="28"/>
        </w:rPr>
        <w:t>Цель.</w:t>
      </w:r>
      <w:r>
        <w:rPr>
          <w:color w:val="000000"/>
          <w:sz w:val="28"/>
          <w:szCs w:val="28"/>
        </w:rPr>
        <w:t xml:space="preserve"> Изучение эффективности влияния L-аргинина у женщин в перименопаузальном периоде с постинфарктным кардиосклерозом с проявлениями сердечной недостаточности.</w:t>
      </w:r>
    </w:p>
    <w:p w:rsidR="00574348" w:rsidRDefault="00574348" w:rsidP="00574348">
      <w:pPr>
        <w:tabs>
          <w:tab w:val="left" w:pos="2295"/>
        </w:tabs>
        <w:autoSpaceDE w:val="0"/>
        <w:autoSpaceDN w:val="0"/>
        <w:adjustRightInd w:val="0"/>
        <w:spacing w:after="120" w:line="276" w:lineRule="auto"/>
        <w:ind w:firstLine="709"/>
        <w:jc w:val="both"/>
        <w:rPr>
          <w:color w:val="000000"/>
          <w:spacing w:val="-2"/>
          <w:sz w:val="28"/>
          <w:szCs w:val="28"/>
          <w:lang w:eastAsia="en-US"/>
        </w:rPr>
      </w:pPr>
      <w:r>
        <w:rPr>
          <w:b/>
          <w:color w:val="000000"/>
          <w:spacing w:val="-2"/>
          <w:sz w:val="28"/>
          <w:szCs w:val="28"/>
        </w:rPr>
        <w:t>Материалы и методы.</w:t>
      </w:r>
      <w:r>
        <w:rPr>
          <w:color w:val="000000"/>
          <w:spacing w:val="-2"/>
          <w:sz w:val="28"/>
          <w:szCs w:val="28"/>
        </w:rPr>
        <w:t xml:space="preserve"> </w:t>
      </w:r>
      <w:r>
        <w:rPr>
          <w:bCs/>
          <w:color w:val="000000"/>
          <w:spacing w:val="-2"/>
          <w:sz w:val="28"/>
          <w:szCs w:val="28"/>
        </w:rPr>
        <w:t xml:space="preserve">Исследовано </w:t>
      </w:r>
      <w:r>
        <w:rPr>
          <w:color w:val="000000"/>
          <w:spacing w:val="-2"/>
          <w:sz w:val="28"/>
          <w:szCs w:val="28"/>
        </w:rPr>
        <w:t xml:space="preserve">135 </w:t>
      </w:r>
      <w:r>
        <w:rPr>
          <w:bCs/>
          <w:color w:val="000000"/>
          <w:spacing w:val="-2"/>
          <w:sz w:val="28"/>
          <w:szCs w:val="28"/>
        </w:rPr>
        <w:t xml:space="preserve">женщин, находившихся на стационарном лечении, в </w:t>
      </w:r>
      <w:r>
        <w:rPr>
          <w:color w:val="000000"/>
          <w:spacing w:val="-2"/>
          <w:sz w:val="28"/>
          <w:szCs w:val="28"/>
        </w:rPr>
        <w:t>возрасте от 45 до 60 лет. Все пациентки были разделены на две группы: I группу составили 80 женщин (средний возраст ‒ 45,1±6,6 года) в перименопаузальном периоде; во II группу были включены 55 женщин (средний возраст ‒ 60,6±4,6 года) в постменопаузальном периоде. Функциональное состояния сердца исследовали эходопплерографическим путем. Лечение и наблюдение продолжались в течение 3 месяцев. Эффективность проводимой терапии оценивалась ежемесячной эходопплерографией. Первая группа на фоне базисной терапии (нитраты, β-адреноблокаторы, антиагреганты, статины) дополнительно получала препарат L-аргинина 4,2 % (Тивортин) раствор 100 мл внутривенно капельно в течение 7-8 дней и далее по 5 мл (</w:t>
      </w:r>
      <w:smartTag w:uri="urn:schemas-microsoft-com:office:smarttags" w:element="metricconverter">
        <w:smartTagPr>
          <w:attr w:name="ProductID" w:val="1 г"/>
        </w:smartTagPr>
        <w:r>
          <w:rPr>
            <w:color w:val="000000"/>
            <w:spacing w:val="-2"/>
            <w:sz w:val="28"/>
            <w:szCs w:val="28"/>
          </w:rPr>
          <w:t>1 г</w:t>
        </w:r>
      </w:smartTag>
      <w:r>
        <w:rPr>
          <w:color w:val="000000"/>
          <w:spacing w:val="-2"/>
          <w:sz w:val="28"/>
          <w:szCs w:val="28"/>
        </w:rPr>
        <w:t>) 3 раза в сутки внутрь в течение 3 месяцев. Вторая группа получала только основную терапию без применения препарата L-аргинина.</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rPr>
      </w:pPr>
      <w:r>
        <w:rPr>
          <w:b/>
          <w:color w:val="000000"/>
          <w:sz w:val="28"/>
          <w:szCs w:val="28"/>
        </w:rPr>
        <w:t>Результаты.</w:t>
      </w:r>
      <w:r>
        <w:rPr>
          <w:color w:val="000000"/>
          <w:sz w:val="28"/>
          <w:szCs w:val="28"/>
        </w:rPr>
        <w:t xml:space="preserve"> Сравнительная оценка структурно-функциональных показателей сердца у женщин </w:t>
      </w:r>
      <w:r>
        <w:rPr>
          <w:color w:val="000000"/>
          <w:sz w:val="28"/>
          <w:szCs w:val="28"/>
          <w:lang w:val="en-US"/>
        </w:rPr>
        <w:t>I</w:t>
      </w:r>
      <w:r>
        <w:rPr>
          <w:color w:val="000000"/>
          <w:sz w:val="28"/>
          <w:szCs w:val="28"/>
        </w:rPr>
        <w:t xml:space="preserve"> группы продемонстрировала, что на фоне основной терапии при получении препарата L-аргинина 4,2 % раствора 100 мл внутривенно показатели до и после лечения были следующими: размер левого предсердия ‒ 5,13</w:t>
      </w:r>
      <w:r>
        <w:rPr>
          <w:color w:val="000000"/>
          <w:sz w:val="28"/>
          <w:szCs w:val="28"/>
        </w:rPr>
        <w:sym w:font="Symbol" w:char="F0B1"/>
      </w:r>
      <w:r>
        <w:rPr>
          <w:color w:val="000000"/>
          <w:sz w:val="28"/>
          <w:szCs w:val="28"/>
        </w:rPr>
        <w:t>0,18 до, 4,61</w:t>
      </w:r>
      <w:r>
        <w:rPr>
          <w:color w:val="000000"/>
          <w:sz w:val="28"/>
          <w:szCs w:val="28"/>
        </w:rPr>
        <w:sym w:font="Symbol" w:char="F0B1"/>
      </w:r>
      <w:r>
        <w:rPr>
          <w:color w:val="000000"/>
          <w:sz w:val="28"/>
          <w:szCs w:val="28"/>
        </w:rPr>
        <w:t>0,14 после; размер правого желудочка ‒ 3,11</w:t>
      </w:r>
      <w:r>
        <w:rPr>
          <w:color w:val="000000"/>
          <w:sz w:val="28"/>
          <w:szCs w:val="28"/>
        </w:rPr>
        <w:sym w:font="Symbol" w:char="F0B1"/>
      </w:r>
      <w:r>
        <w:rPr>
          <w:color w:val="000000"/>
          <w:sz w:val="28"/>
          <w:szCs w:val="28"/>
        </w:rPr>
        <w:t>0,01 до, 2,90</w:t>
      </w:r>
      <w:r>
        <w:rPr>
          <w:color w:val="000000"/>
          <w:sz w:val="28"/>
          <w:szCs w:val="28"/>
        </w:rPr>
        <w:sym w:font="Symbol" w:char="F0B1"/>
      </w:r>
      <w:r>
        <w:rPr>
          <w:color w:val="000000"/>
          <w:sz w:val="28"/>
          <w:szCs w:val="28"/>
        </w:rPr>
        <w:t>0,08 после; толщина межжелудочковой перегородки ‒ 1,42</w:t>
      </w:r>
      <w:r>
        <w:rPr>
          <w:color w:val="000000"/>
          <w:sz w:val="28"/>
          <w:szCs w:val="28"/>
        </w:rPr>
        <w:sym w:font="Symbol" w:char="F0B1"/>
      </w:r>
      <w:r>
        <w:rPr>
          <w:color w:val="000000"/>
          <w:sz w:val="28"/>
          <w:szCs w:val="28"/>
        </w:rPr>
        <w:t>,05 до, 1,34</w:t>
      </w:r>
      <w:r>
        <w:rPr>
          <w:color w:val="000000"/>
          <w:sz w:val="28"/>
          <w:szCs w:val="28"/>
        </w:rPr>
        <w:sym w:font="Symbol" w:char="F0B1"/>
      </w:r>
      <w:r>
        <w:rPr>
          <w:color w:val="000000"/>
          <w:sz w:val="28"/>
          <w:szCs w:val="28"/>
        </w:rPr>
        <w:t>0,04 после; толщина задней стенки левого желудочка ‒ 1,38</w:t>
      </w:r>
      <w:r>
        <w:rPr>
          <w:color w:val="000000"/>
          <w:sz w:val="28"/>
          <w:szCs w:val="28"/>
        </w:rPr>
        <w:sym w:font="Symbol" w:char="F0B1"/>
      </w:r>
      <w:r>
        <w:rPr>
          <w:color w:val="000000"/>
          <w:sz w:val="28"/>
          <w:szCs w:val="28"/>
        </w:rPr>
        <w:t>0,04 до, 1,34</w:t>
      </w:r>
      <w:r>
        <w:rPr>
          <w:color w:val="000000"/>
          <w:sz w:val="28"/>
          <w:szCs w:val="28"/>
        </w:rPr>
        <w:sym w:font="Symbol" w:char="F0B1"/>
      </w:r>
      <w:r>
        <w:rPr>
          <w:color w:val="000000"/>
          <w:sz w:val="28"/>
          <w:szCs w:val="28"/>
        </w:rPr>
        <w:t>0,04 после; индекс массы миокарда левого желудочка ‒ 127,0</w:t>
      </w:r>
      <w:r>
        <w:rPr>
          <w:color w:val="000000"/>
          <w:sz w:val="28"/>
          <w:szCs w:val="28"/>
        </w:rPr>
        <w:sym w:font="Symbol" w:char="F0B1"/>
      </w:r>
      <w:r>
        <w:rPr>
          <w:color w:val="000000"/>
          <w:sz w:val="28"/>
          <w:szCs w:val="28"/>
        </w:rPr>
        <w:t>5,4 до, 112,0</w:t>
      </w:r>
      <w:r>
        <w:rPr>
          <w:color w:val="000000"/>
          <w:sz w:val="28"/>
          <w:szCs w:val="28"/>
        </w:rPr>
        <w:sym w:font="Symbol" w:char="F0B1"/>
      </w:r>
      <w:r>
        <w:rPr>
          <w:color w:val="000000"/>
          <w:sz w:val="28"/>
          <w:szCs w:val="28"/>
        </w:rPr>
        <w:t>4,7 после; конечный диастолический объем ‒ 144</w:t>
      </w:r>
      <w:r>
        <w:rPr>
          <w:color w:val="000000"/>
          <w:sz w:val="28"/>
          <w:szCs w:val="28"/>
        </w:rPr>
        <w:sym w:font="Symbol" w:char="F0B1"/>
      </w:r>
      <w:r>
        <w:rPr>
          <w:color w:val="000000"/>
          <w:sz w:val="28"/>
          <w:szCs w:val="28"/>
        </w:rPr>
        <w:t>0,80 до, 122,0</w:t>
      </w:r>
      <w:r>
        <w:rPr>
          <w:color w:val="000000"/>
          <w:sz w:val="28"/>
          <w:szCs w:val="28"/>
        </w:rPr>
        <w:sym w:font="Symbol" w:char="F0B1"/>
      </w:r>
      <w:r>
        <w:rPr>
          <w:color w:val="000000"/>
          <w:sz w:val="28"/>
          <w:szCs w:val="28"/>
        </w:rPr>
        <w:t>6,4 после; минутный объем ‒ 4,36</w:t>
      </w:r>
      <w:r>
        <w:rPr>
          <w:color w:val="000000"/>
          <w:sz w:val="28"/>
          <w:szCs w:val="28"/>
        </w:rPr>
        <w:sym w:font="Symbol" w:char="F0B1"/>
      </w:r>
      <w:r>
        <w:rPr>
          <w:color w:val="000000"/>
          <w:sz w:val="28"/>
          <w:szCs w:val="28"/>
        </w:rPr>
        <w:t>0,20 до, 5,30</w:t>
      </w:r>
      <w:r>
        <w:rPr>
          <w:color w:val="000000"/>
          <w:sz w:val="28"/>
          <w:szCs w:val="28"/>
        </w:rPr>
        <w:sym w:font="Symbol" w:char="F0B1"/>
      </w:r>
      <w:r>
        <w:rPr>
          <w:color w:val="000000"/>
          <w:sz w:val="28"/>
          <w:szCs w:val="28"/>
        </w:rPr>
        <w:t>0,20 после; фракция выброса ‒ 48 % до, 52 % после; ударный объем ‒ 54 мл до, 62 мл после. Клинически отмечали повышение толерантности к физической нагрузке, снижение частоты приема нитратов и улучшение качества жизни.</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rPr>
      </w:pPr>
      <w:r>
        <w:rPr>
          <w:b/>
          <w:color w:val="000000"/>
          <w:sz w:val="28"/>
          <w:szCs w:val="28"/>
        </w:rPr>
        <w:lastRenderedPageBreak/>
        <w:t>Выводы.</w:t>
      </w:r>
      <w:r>
        <w:rPr>
          <w:color w:val="000000"/>
          <w:sz w:val="28"/>
          <w:szCs w:val="28"/>
        </w:rPr>
        <w:t xml:space="preserve"> У женщин </w:t>
      </w:r>
      <w:r>
        <w:rPr>
          <w:color w:val="000000"/>
          <w:sz w:val="28"/>
          <w:szCs w:val="28"/>
          <w:lang w:val="en-US"/>
        </w:rPr>
        <w:t>I</w:t>
      </w:r>
      <w:r>
        <w:rPr>
          <w:color w:val="000000"/>
          <w:sz w:val="28"/>
          <w:szCs w:val="28"/>
        </w:rPr>
        <w:t xml:space="preserve"> группы на фоне базисной терапии с добавлением L-аргинина 4,2 % снижается функциональный класс сердечной недостаточности с II на I, нормализуются показатели диастолического наполнения левого желудочка и уменьшается частота развития повторного инфаркта миокарда.</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rPr>
      </w:pPr>
      <w:r>
        <w:rPr>
          <w:b/>
          <w:color w:val="000000"/>
          <w:sz w:val="28"/>
          <w:szCs w:val="28"/>
        </w:rPr>
        <w:t>Ключевые слова:</w:t>
      </w:r>
      <w:r>
        <w:rPr>
          <w:color w:val="000000"/>
          <w:sz w:val="28"/>
          <w:szCs w:val="28"/>
        </w:rPr>
        <w:t xml:space="preserve"> L-аргинин, постинфарктный кардиосклероз, сердечная недостаточность.</w:t>
      </w:r>
    </w:p>
    <w:p w:rsidR="00574348" w:rsidRPr="00D60164" w:rsidRDefault="00574348" w:rsidP="00574348">
      <w:pPr>
        <w:spacing w:after="120" w:line="276" w:lineRule="auto"/>
        <w:ind w:firstLine="0"/>
        <w:jc w:val="both"/>
        <w:rPr>
          <w:i/>
          <w:color w:val="000000"/>
          <w:sz w:val="28"/>
          <w:szCs w:val="28"/>
        </w:rPr>
      </w:pPr>
      <w:r w:rsidRPr="00D60164">
        <w:rPr>
          <w:i/>
          <w:color w:val="000000"/>
          <w:sz w:val="28"/>
          <w:szCs w:val="28"/>
        </w:rPr>
        <w:t>* Тезисы Конгресса по инфузионной терапии опубликованы в журнале «</w:t>
      </w:r>
      <w:hyperlink r:id="rId4" w:history="1">
        <w:r w:rsidRPr="00D60164">
          <w:rPr>
            <w:rStyle w:val="a6"/>
            <w:i/>
            <w:sz w:val="28"/>
            <w:szCs w:val="28"/>
          </w:rPr>
          <w:t>Инфузия &amp; Химиотерапия</w:t>
        </w:r>
      </w:hyperlink>
      <w:r w:rsidRPr="00D60164">
        <w:rPr>
          <w:i/>
          <w:color w:val="000000"/>
          <w:sz w:val="28"/>
          <w:szCs w:val="28"/>
        </w:rPr>
        <w:t xml:space="preserve">». </w:t>
      </w:r>
    </w:p>
    <w:p w:rsidR="00574348" w:rsidRDefault="00574348" w:rsidP="00574348">
      <w:pPr>
        <w:shd w:val="clear" w:color="auto" w:fill="FFFFFF"/>
        <w:autoSpaceDE w:val="0"/>
        <w:autoSpaceDN w:val="0"/>
        <w:adjustRightInd w:val="0"/>
        <w:spacing w:after="120" w:line="276" w:lineRule="auto"/>
        <w:ind w:firstLine="0"/>
        <w:jc w:val="both"/>
        <w:rPr>
          <w:color w:val="000000"/>
          <w:sz w:val="28"/>
          <w:szCs w:val="28"/>
        </w:rPr>
      </w:pPr>
    </w:p>
    <w:p w:rsidR="00574348" w:rsidRDefault="00574348" w:rsidP="00574348">
      <w:pPr>
        <w:shd w:val="clear" w:color="auto" w:fill="FFFFFF"/>
        <w:autoSpaceDE w:val="0"/>
        <w:autoSpaceDN w:val="0"/>
        <w:adjustRightInd w:val="0"/>
        <w:spacing w:after="120" w:line="276" w:lineRule="auto"/>
        <w:ind w:firstLine="0"/>
        <w:jc w:val="both"/>
        <w:rPr>
          <w:b/>
          <w:color w:val="000000"/>
          <w:sz w:val="30"/>
          <w:szCs w:val="30"/>
          <w:lang w:val="en-US"/>
        </w:rPr>
      </w:pPr>
      <w:r>
        <w:rPr>
          <w:b/>
          <w:color w:val="000000"/>
          <w:sz w:val="30"/>
          <w:szCs w:val="30"/>
          <w:lang w:val="en-US"/>
        </w:rPr>
        <w:t>Efficiency of nitrate oxide donor Tivortin in women with post-infarction cardiosclerosis in the perimenopausal period with heart failure</w:t>
      </w:r>
    </w:p>
    <w:p w:rsidR="00574348" w:rsidRDefault="00574348" w:rsidP="005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0"/>
        <w:jc w:val="both"/>
        <w:rPr>
          <w:b/>
          <w:color w:val="000000"/>
          <w:sz w:val="26"/>
          <w:szCs w:val="26"/>
          <w:lang w:val="en-US"/>
        </w:rPr>
      </w:pPr>
      <w:r>
        <w:rPr>
          <w:b/>
          <w:color w:val="000000"/>
          <w:sz w:val="26"/>
          <w:szCs w:val="26"/>
          <w:lang w:val="en-US"/>
        </w:rPr>
        <w:t>Rofieva H.Sh.</w:t>
      </w:r>
    </w:p>
    <w:p w:rsidR="00574348" w:rsidRDefault="00574348" w:rsidP="005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0"/>
        <w:jc w:val="both"/>
        <w:rPr>
          <w:color w:val="000000"/>
          <w:sz w:val="26"/>
          <w:szCs w:val="26"/>
          <w:lang w:val="en-US"/>
        </w:rPr>
      </w:pPr>
      <w:r>
        <w:rPr>
          <w:color w:val="000000"/>
          <w:sz w:val="26"/>
          <w:szCs w:val="26"/>
          <w:lang w:val="en-US"/>
        </w:rPr>
        <w:t>“Istiklol Health Complex”, Dushanbe, Tajikistan</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lang w:val="en-US"/>
        </w:rPr>
      </w:pPr>
      <w:r>
        <w:rPr>
          <w:b/>
          <w:bCs/>
          <w:color w:val="000000"/>
          <w:sz w:val="28"/>
          <w:szCs w:val="28"/>
          <w:shd w:val="clear" w:color="auto" w:fill="FFFFFF"/>
          <w:lang w:val="en-US"/>
        </w:rPr>
        <w:t>Objective.</w:t>
      </w:r>
      <w:r>
        <w:rPr>
          <w:bCs/>
          <w:color w:val="000000"/>
          <w:sz w:val="28"/>
          <w:szCs w:val="28"/>
          <w:shd w:val="clear" w:color="auto" w:fill="FFFFFF"/>
          <w:lang w:val="en-US"/>
        </w:rPr>
        <w:t xml:space="preserve"> </w:t>
      </w:r>
      <w:r>
        <w:rPr>
          <w:color w:val="000000"/>
          <w:sz w:val="28"/>
          <w:szCs w:val="28"/>
          <w:lang w:val="en-US"/>
        </w:rPr>
        <w:t>To study the effectiveness of the effect of L-arginine in women in the perimenopausal period with post-infarction cardiosclerosis with manifestations of heart failure.</w:t>
      </w:r>
    </w:p>
    <w:p w:rsidR="00574348" w:rsidRDefault="00574348" w:rsidP="00574348">
      <w:pPr>
        <w:shd w:val="clear" w:color="auto" w:fill="FFFFFF"/>
        <w:autoSpaceDE w:val="0"/>
        <w:autoSpaceDN w:val="0"/>
        <w:adjustRightInd w:val="0"/>
        <w:spacing w:after="120" w:line="276" w:lineRule="auto"/>
        <w:ind w:firstLine="709"/>
        <w:jc w:val="both"/>
        <w:rPr>
          <w:color w:val="000000"/>
          <w:spacing w:val="-4"/>
          <w:sz w:val="28"/>
          <w:szCs w:val="28"/>
          <w:lang w:val="en-US"/>
        </w:rPr>
      </w:pPr>
      <w:r>
        <w:rPr>
          <w:b/>
          <w:color w:val="000000"/>
          <w:spacing w:val="-4"/>
          <w:sz w:val="28"/>
          <w:szCs w:val="28"/>
          <w:lang w:val="en-US"/>
        </w:rPr>
        <w:t>Materials and methods.</w:t>
      </w:r>
      <w:r>
        <w:rPr>
          <w:color w:val="000000"/>
          <w:spacing w:val="-4"/>
          <w:sz w:val="28"/>
          <w:szCs w:val="28"/>
          <w:lang w:val="en-US"/>
        </w:rPr>
        <w:t xml:space="preserve"> The study included 135 women who were hospitalized at the age from 45 to 60 years. All patients were divided into two groups: group I consisted of 80 women (mean age ‒ 45.1</w:t>
      </w:r>
      <w:r>
        <w:rPr>
          <w:color w:val="000000"/>
          <w:spacing w:val="-4"/>
          <w:sz w:val="28"/>
          <w:szCs w:val="28"/>
          <w:lang w:val="en-US"/>
        </w:rPr>
        <w:sym w:font="Symbol" w:char="F0B1"/>
      </w:r>
      <w:r>
        <w:rPr>
          <w:color w:val="000000"/>
          <w:spacing w:val="-4"/>
          <w:sz w:val="28"/>
          <w:szCs w:val="28"/>
          <w:lang w:val="en-US"/>
        </w:rPr>
        <w:t>6.6 years) in the perimenopausal period; group II included 55 women (mean age ‒ 60.6</w:t>
      </w:r>
      <w:r>
        <w:rPr>
          <w:color w:val="000000"/>
          <w:spacing w:val="-4"/>
          <w:sz w:val="28"/>
          <w:szCs w:val="28"/>
          <w:lang w:val="en-US"/>
        </w:rPr>
        <w:sym w:font="Symbol" w:char="F0B1"/>
      </w:r>
      <w:r>
        <w:rPr>
          <w:color w:val="000000"/>
          <w:spacing w:val="-4"/>
          <w:sz w:val="28"/>
          <w:szCs w:val="28"/>
          <w:lang w:val="en-US"/>
        </w:rPr>
        <w:t>4.6 years) in the postmenopausal period. The functional state of the heart was investigated by the echo-Doppler method. Treatment and observation continued for 3 months. To identify the effectiveness of the therapy was assessed by monthly echo-Doppler sonography. The first group, against the background of basic therapy (nitrates, β-blockers, antiplatelet agents, statins), additionally received the drug L-arginine 4.2 % (Tivortin) solution of 100 ml intravenously drip for 7-8 days, followed by 5 ml (</w:t>
      </w:r>
      <w:smartTag w:uri="urn:schemas-microsoft-com:office:smarttags" w:element="metricconverter">
        <w:smartTagPr>
          <w:attr w:name="ProductID" w:val="1 g"/>
        </w:smartTagPr>
        <w:r>
          <w:rPr>
            <w:color w:val="000000"/>
            <w:spacing w:val="-4"/>
            <w:sz w:val="28"/>
            <w:szCs w:val="28"/>
            <w:lang w:val="en-US"/>
          </w:rPr>
          <w:t>1 g</w:t>
        </w:r>
      </w:smartTag>
      <w:r>
        <w:rPr>
          <w:color w:val="000000"/>
          <w:spacing w:val="-4"/>
          <w:sz w:val="28"/>
          <w:szCs w:val="28"/>
          <w:lang w:val="en-US"/>
        </w:rPr>
        <w:t>) 3 times per day inside within 3 months. The second group received only the main therapy without the use of L-arginine.</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lang w:val="en-US"/>
        </w:rPr>
      </w:pPr>
      <w:r>
        <w:rPr>
          <w:b/>
          <w:color w:val="000000"/>
          <w:sz w:val="28"/>
          <w:szCs w:val="28"/>
          <w:lang w:val="en-US"/>
        </w:rPr>
        <w:t>Results.</w:t>
      </w:r>
      <w:r>
        <w:rPr>
          <w:color w:val="000000"/>
          <w:sz w:val="28"/>
          <w:szCs w:val="28"/>
          <w:lang w:val="en-US"/>
        </w:rPr>
        <w:t xml:space="preserve"> When conducting a comparative assessment of the structural and functional indicators of the heart in women of the first group, it showed that against the background of the main therapy when receiving the drug L-arginine 4.2 % solution 100 ml intravenously before and after treatment were as follows: left atrium size ‒ 5.13</w:t>
      </w:r>
      <w:r>
        <w:rPr>
          <w:color w:val="000000"/>
          <w:sz w:val="28"/>
          <w:szCs w:val="28"/>
          <w:lang w:val="en-US"/>
        </w:rPr>
        <w:sym w:font="Symbol" w:char="F0B1"/>
      </w:r>
      <w:r>
        <w:rPr>
          <w:color w:val="000000"/>
          <w:sz w:val="28"/>
          <w:szCs w:val="28"/>
          <w:lang w:val="en-US"/>
        </w:rPr>
        <w:t>0.18 up to, 4.61</w:t>
      </w:r>
      <w:r>
        <w:rPr>
          <w:color w:val="000000"/>
          <w:sz w:val="28"/>
          <w:szCs w:val="28"/>
          <w:lang w:val="en-US"/>
        </w:rPr>
        <w:sym w:font="Symbol" w:char="F0B1"/>
      </w:r>
      <w:r>
        <w:rPr>
          <w:color w:val="000000"/>
          <w:sz w:val="28"/>
          <w:szCs w:val="28"/>
          <w:lang w:val="en-US"/>
        </w:rPr>
        <w:t>0.14 after; the size of the right ventricle ‒ 3.11</w:t>
      </w:r>
      <w:r>
        <w:rPr>
          <w:color w:val="000000"/>
          <w:sz w:val="28"/>
          <w:szCs w:val="28"/>
          <w:lang w:val="en-US"/>
        </w:rPr>
        <w:sym w:font="Symbol" w:char="F0B1"/>
      </w:r>
      <w:r>
        <w:rPr>
          <w:color w:val="000000"/>
          <w:sz w:val="28"/>
          <w:szCs w:val="28"/>
          <w:lang w:val="en-US"/>
        </w:rPr>
        <w:t>0.01 up to, 2.90</w:t>
      </w:r>
      <w:r>
        <w:rPr>
          <w:color w:val="000000"/>
          <w:sz w:val="28"/>
          <w:szCs w:val="28"/>
          <w:lang w:val="en-US"/>
        </w:rPr>
        <w:sym w:font="Symbol" w:char="F0B1"/>
      </w:r>
      <w:r>
        <w:rPr>
          <w:color w:val="000000"/>
          <w:sz w:val="28"/>
          <w:szCs w:val="28"/>
          <w:lang w:val="en-US"/>
        </w:rPr>
        <w:t>0.08 after; thickness of the interventricular septum ‒ 1.42</w:t>
      </w:r>
      <w:r>
        <w:rPr>
          <w:color w:val="000000"/>
          <w:sz w:val="28"/>
          <w:szCs w:val="28"/>
          <w:lang w:val="en-US"/>
        </w:rPr>
        <w:sym w:font="Symbol" w:char="F0B1"/>
      </w:r>
      <w:r>
        <w:rPr>
          <w:color w:val="000000"/>
          <w:sz w:val="28"/>
          <w:szCs w:val="28"/>
          <w:lang w:val="en-US"/>
        </w:rPr>
        <w:t>0.05 up to, 1.34</w:t>
      </w:r>
      <w:r>
        <w:rPr>
          <w:color w:val="000000"/>
          <w:sz w:val="28"/>
          <w:szCs w:val="28"/>
          <w:lang w:val="en-US"/>
        </w:rPr>
        <w:sym w:font="Symbol" w:char="F0B1"/>
      </w:r>
      <w:r>
        <w:rPr>
          <w:color w:val="000000"/>
          <w:sz w:val="28"/>
          <w:szCs w:val="28"/>
          <w:lang w:val="en-US"/>
        </w:rPr>
        <w:t xml:space="preserve">0.04 </w:t>
      </w:r>
      <w:r>
        <w:rPr>
          <w:color w:val="000000"/>
          <w:sz w:val="28"/>
          <w:szCs w:val="28"/>
          <w:lang w:val="en-US"/>
        </w:rPr>
        <w:lastRenderedPageBreak/>
        <w:t>after; posterior wall thickness of left ventricle ‒ 1.38</w:t>
      </w:r>
      <w:r>
        <w:rPr>
          <w:color w:val="000000"/>
          <w:sz w:val="28"/>
          <w:szCs w:val="28"/>
          <w:lang w:val="en-US"/>
        </w:rPr>
        <w:sym w:font="Symbol" w:char="F0B1"/>
      </w:r>
      <w:r>
        <w:rPr>
          <w:color w:val="000000"/>
          <w:sz w:val="28"/>
          <w:szCs w:val="28"/>
          <w:lang w:val="en-US"/>
        </w:rPr>
        <w:t>0.04 up to, 1.34</w:t>
      </w:r>
      <w:r>
        <w:rPr>
          <w:color w:val="000000"/>
          <w:sz w:val="28"/>
          <w:szCs w:val="28"/>
          <w:lang w:val="en-US"/>
        </w:rPr>
        <w:sym w:font="Symbol" w:char="F0B1"/>
      </w:r>
      <w:r>
        <w:rPr>
          <w:color w:val="000000"/>
          <w:sz w:val="28"/>
          <w:szCs w:val="28"/>
          <w:lang w:val="en-US"/>
        </w:rPr>
        <w:t>0.04 after; index of left ventricle myocardial mass ‒ 127.0</w:t>
      </w:r>
      <w:r>
        <w:rPr>
          <w:color w:val="000000"/>
          <w:sz w:val="28"/>
          <w:szCs w:val="28"/>
          <w:lang w:val="en-US"/>
        </w:rPr>
        <w:sym w:font="Symbol" w:char="F0B1"/>
      </w:r>
      <w:r>
        <w:rPr>
          <w:color w:val="000000"/>
          <w:sz w:val="28"/>
          <w:szCs w:val="28"/>
          <w:lang w:val="en-US"/>
        </w:rPr>
        <w:t>5.4 up to, 112.0</w:t>
      </w:r>
      <w:r>
        <w:rPr>
          <w:color w:val="000000"/>
          <w:sz w:val="28"/>
          <w:szCs w:val="28"/>
          <w:lang w:val="en-US"/>
        </w:rPr>
        <w:sym w:font="Symbol" w:char="F0B1"/>
      </w:r>
      <w:r>
        <w:rPr>
          <w:color w:val="000000"/>
          <w:sz w:val="28"/>
          <w:szCs w:val="28"/>
          <w:lang w:val="en-US"/>
        </w:rPr>
        <w:t>4.7 after; end diastolic volume ‒ 144</w:t>
      </w:r>
      <w:r>
        <w:rPr>
          <w:color w:val="000000"/>
          <w:sz w:val="28"/>
          <w:szCs w:val="28"/>
          <w:lang w:val="en-US"/>
        </w:rPr>
        <w:sym w:font="Symbol" w:char="F0B1"/>
      </w:r>
      <w:r>
        <w:rPr>
          <w:color w:val="000000"/>
          <w:sz w:val="28"/>
          <w:szCs w:val="28"/>
          <w:lang w:val="en-US"/>
        </w:rPr>
        <w:t>0.80 up to, 122.0</w:t>
      </w:r>
      <w:r>
        <w:rPr>
          <w:color w:val="000000"/>
          <w:sz w:val="28"/>
          <w:szCs w:val="28"/>
          <w:lang w:val="en-US"/>
        </w:rPr>
        <w:sym w:font="Symbol" w:char="F0B1"/>
      </w:r>
      <w:r>
        <w:rPr>
          <w:color w:val="000000"/>
          <w:sz w:val="28"/>
          <w:szCs w:val="28"/>
          <w:lang w:val="en-US"/>
        </w:rPr>
        <w:t>6.4 after; minute volume ‒ 4.36</w:t>
      </w:r>
      <w:r>
        <w:rPr>
          <w:color w:val="000000"/>
          <w:sz w:val="28"/>
          <w:szCs w:val="28"/>
          <w:lang w:val="en-US"/>
        </w:rPr>
        <w:sym w:font="Symbol" w:char="F0B1"/>
      </w:r>
      <w:r>
        <w:rPr>
          <w:color w:val="000000"/>
          <w:sz w:val="28"/>
          <w:szCs w:val="28"/>
          <w:lang w:val="en-US"/>
        </w:rPr>
        <w:t>0.20 up to, 5.30</w:t>
      </w:r>
      <w:r>
        <w:rPr>
          <w:color w:val="000000"/>
          <w:sz w:val="28"/>
          <w:szCs w:val="28"/>
          <w:lang w:val="en-US"/>
        </w:rPr>
        <w:sym w:font="Symbol" w:char="F0B1"/>
      </w:r>
      <w:r>
        <w:rPr>
          <w:color w:val="000000"/>
          <w:sz w:val="28"/>
          <w:szCs w:val="28"/>
          <w:lang w:val="en-US"/>
        </w:rPr>
        <w:t>0.20 after; ejection fraction ‒ 48 % up to, 52 % after; stroke volume ‒ 54 ml up to, 62 ml after. Clinically noted an increase in exercise tolerance, a decrease in the frequency of nitrate intake and an improvement in the quality of life.</w:t>
      </w:r>
    </w:p>
    <w:p w:rsidR="00574348" w:rsidRDefault="00574348" w:rsidP="00574348">
      <w:pPr>
        <w:shd w:val="clear" w:color="auto" w:fill="FFFFFF"/>
        <w:autoSpaceDE w:val="0"/>
        <w:autoSpaceDN w:val="0"/>
        <w:adjustRightInd w:val="0"/>
        <w:spacing w:after="120" w:line="276" w:lineRule="auto"/>
        <w:ind w:firstLine="709"/>
        <w:jc w:val="both"/>
        <w:rPr>
          <w:color w:val="000000"/>
          <w:sz w:val="28"/>
          <w:szCs w:val="28"/>
          <w:lang w:val="en-US"/>
        </w:rPr>
      </w:pPr>
      <w:r>
        <w:rPr>
          <w:b/>
          <w:color w:val="000000"/>
          <w:sz w:val="28"/>
          <w:szCs w:val="28"/>
          <w:lang w:val="en-US"/>
        </w:rPr>
        <w:t>Conclusions.</w:t>
      </w:r>
      <w:r>
        <w:rPr>
          <w:color w:val="000000"/>
          <w:sz w:val="28"/>
          <w:szCs w:val="28"/>
          <w:lang w:val="en-US"/>
        </w:rPr>
        <w:t xml:space="preserve"> In women of group 1, against the background of basic therapy with the addition of L-arginine 4.2 %, the functional class of heart failure decreases from II to I, the indicators of diastolic filling of the left ventricle are normalized, and the incidence of repeated myocardial infarction decreases.</w:t>
      </w:r>
    </w:p>
    <w:p w:rsidR="00E75AA7" w:rsidRDefault="00574348" w:rsidP="005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color w:val="000000"/>
          <w:sz w:val="28"/>
          <w:szCs w:val="28"/>
          <w:lang w:val="en-US"/>
        </w:rPr>
      </w:pPr>
      <w:r>
        <w:rPr>
          <w:b/>
          <w:color w:val="000000"/>
          <w:sz w:val="28"/>
          <w:szCs w:val="28"/>
          <w:lang w:val="en-US"/>
        </w:rPr>
        <w:t>Key words:</w:t>
      </w:r>
      <w:r>
        <w:rPr>
          <w:color w:val="000000"/>
          <w:sz w:val="28"/>
          <w:szCs w:val="28"/>
          <w:lang w:val="en-US"/>
        </w:rPr>
        <w:t xml:space="preserve"> L-arginine, post-infarction cardiosclerosis, heart failure.</w:t>
      </w:r>
    </w:p>
    <w:p w:rsidR="00574348" w:rsidRPr="00574348" w:rsidRDefault="00574348" w:rsidP="00574348">
      <w:pPr>
        <w:spacing w:after="120" w:line="276" w:lineRule="auto"/>
        <w:ind w:firstLine="0"/>
        <w:jc w:val="both"/>
        <w:rPr>
          <w:lang w:val="en-US"/>
        </w:rPr>
      </w:pPr>
      <w:r w:rsidRPr="00D60164">
        <w:rPr>
          <w:i/>
          <w:color w:val="000000"/>
          <w:sz w:val="28"/>
          <w:szCs w:val="28"/>
        </w:rPr>
        <w:t>* The theses of the Congress on Infusion Therapy are published in the "</w:t>
      </w:r>
      <w:hyperlink r:id="rId5" w:history="1">
        <w:r w:rsidRPr="00D60164">
          <w:rPr>
            <w:rStyle w:val="a6"/>
            <w:i/>
            <w:sz w:val="28"/>
            <w:szCs w:val="28"/>
          </w:rPr>
          <w:t>Infusion &amp; Chemotherapy</w:t>
        </w:r>
      </w:hyperlink>
      <w:r>
        <w:rPr>
          <w:i/>
          <w:color w:val="000000"/>
          <w:sz w:val="28"/>
          <w:szCs w:val="28"/>
        </w:rPr>
        <w:t>" journal.</w:t>
      </w:r>
    </w:p>
    <w:sectPr w:rsidR="00574348" w:rsidRPr="00574348"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5743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57434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8"/>
    <w:rsid w:val="001B1407"/>
    <w:rsid w:val="003A11FD"/>
    <w:rsid w:val="00574348"/>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B15417-0328-4948-8470-07223297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48"/>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348"/>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574348"/>
    <w:rPr>
      <w:rFonts w:ascii="Times New Roman" w:eastAsia="Times New Roman" w:hAnsi="Times New Roman" w:cs="Times New Roman"/>
      <w:sz w:val="20"/>
      <w:szCs w:val="20"/>
      <w:lang w:val="uk-UA" w:eastAsia="ru-RU"/>
    </w:rPr>
  </w:style>
  <w:style w:type="character" w:styleId="a5">
    <w:name w:val="page number"/>
    <w:uiPriority w:val="99"/>
    <w:rsid w:val="00574348"/>
    <w:rPr>
      <w:rFonts w:cs="Times New Roman"/>
    </w:rPr>
  </w:style>
  <w:style w:type="paragraph" w:styleId="HTML">
    <w:name w:val="HTML Preformatted"/>
    <w:basedOn w:val="a"/>
    <w:link w:val="HTML0"/>
    <w:uiPriority w:val="99"/>
    <w:rsid w:val="005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lang w:val="ru-RU"/>
    </w:rPr>
  </w:style>
  <w:style w:type="character" w:customStyle="1" w:styleId="HTML0">
    <w:name w:val="Стандартный HTML Знак"/>
    <w:basedOn w:val="a0"/>
    <w:link w:val="HTML"/>
    <w:uiPriority w:val="99"/>
    <w:rsid w:val="00574348"/>
    <w:rPr>
      <w:rFonts w:ascii="Courier New" w:eastAsia="Times New Roman" w:hAnsi="Courier New" w:cs="Courier New"/>
      <w:sz w:val="20"/>
      <w:szCs w:val="20"/>
      <w:lang w:eastAsia="ru-RU"/>
    </w:rPr>
  </w:style>
  <w:style w:type="character" w:styleId="a6">
    <w:name w:val="Hyperlink"/>
    <w:basedOn w:val="a0"/>
    <w:uiPriority w:val="99"/>
    <w:unhideWhenUsed/>
    <w:rsid w:val="00574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chemotherapy.com/index.php/journal/issue/view/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Company>SPecialiST RePack</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2020-11-06T10:14:00Z</dcterms:created>
  <dcterms:modified xsi:type="dcterms:W3CDTF">2020-11-06T10:15:00Z</dcterms:modified>
</cp:coreProperties>
</file>